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Blue"/>
        <w:jc w:val="left"/>
      </w:pPr>
      <w:r>
        <w:rPr>
          <w:rFonts w:ascii="Aptos" w:hAnsi="Aptos"/>
        </w:rPr>
        <w:t>BMU Replacement – Interface Definition Template</w:t>
      </w:r>
    </w:p>
    <w:p>
      <w:pPr>
        <w:pStyle w:val="SmallGray"/>
      </w:pPr>
      <w:r>
        <w:rPr>
          <w:b/>
        </w:rPr>
        <w:t xml:space="preserve">Purpose: </w:t>
      </w:r>
      <w:r>
        <w:t>Use this template to define the information needed from the existing product team so firmware, hardware, and test development can evaluate and implement a replacement BMU.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1232"/>
            <w:shd w:fill="EAF2F8"/>
            <w:tcBorders>
              <w:left w:val="single" w:sz="8" w:color="9CC2E5"/>
              <w:top w:val="single" w:sz="8" w:color="9CC2E5"/>
              <w:right w:val="single" w:sz="8" w:color="9CC2E5"/>
              <w:bottom w:val="single" w:sz="8" w:color="9CC2E5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1F4E79"/>
              </w:rPr>
              <w:t>Recommended scope</w:t>
            </w:r>
            <w:r>
              <w:t xml:space="preserve">: request more than a simple signal list. </w:t>
            </w:r>
            <w:r>
              <w:rPr>
                <w:i/>
              </w:rPr>
              <w:t>The package should include communication behavior, state transitions, error handling, configuration data, and EEPROM/NVM layout in addition to physical I/O.</w:t>
            </w:r>
          </w:p>
        </w:tc>
      </w:tr>
    </w:tbl>
    <w:p/>
    <w:p>
      <w:pPr>
        <w:pStyle w:val="HeadingBlue"/>
      </w:pPr>
      <w:r>
        <w:t>1. High-Level Interface Diagram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2160"/>
          </w:tcPr>
          <w:p/>
        </w:tc>
        <w:tc>
          <w:tcPr>
            <w:tcW w:type="dxa" w:w="792"/>
          </w:tcPr>
          <w:p/>
        </w:tc>
        <w:tc>
          <w:tcPr>
            <w:tcW w:type="dxa" w:w="2448"/>
          </w:tcPr>
          <w:p/>
        </w:tc>
        <w:tc>
          <w:tcPr>
            <w:tcW w:type="dxa" w:w="864"/>
          </w:tcPr>
          <w:p/>
        </w:tc>
        <w:tc>
          <w:tcPr>
            <w:tcW w:type="dxa" w:w="2448"/>
          </w:tcPr>
          <w:p/>
        </w:tc>
        <w:tc>
          <w:tcPr>
            <w:tcW w:type="dxa" w:w="79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2160"/>
            <w:vAlign w:val="center"/>
            <w:shd w:fill="D9EAF7"/>
            <w:tcBorders>
              <w:left w:val="single" w:sz="10" w:color="A6A6A6"/>
              <w:top w:val="single" w:sz="10" w:color="A6A6A6"/>
              <w:right w:val="single" w:sz="10" w:color="A6A6A6"/>
              <w:bottom w:val="single" w:sz="10" w:color="A6A6A6"/>
            </w:tcBorders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External tester /</w:t>
              <w:br/>
              <w:t>AkaTool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/>
                <w:sz w:val="36"/>
              </w:rPr>
              <w:t>→</w:t>
            </w:r>
          </w:p>
          <w:p>
            <w:pPr>
              <w:jc w:val="center"/>
            </w:pPr>
            <w:r>
              <w:rPr>
                <w:sz w:val="16"/>
              </w:rPr>
              <w:t>CAN / diagnostics /</w:t>
              <w:br/>
              <w:t>test commands</w:t>
            </w:r>
          </w:p>
        </w:tc>
        <w:tc>
          <w:tcPr>
            <w:tcW w:type="dxa" w:w="2448"/>
            <w:vAlign w:val="center"/>
            <w:shd w:fill="DDEBF7"/>
            <w:tcBorders>
              <w:left w:val="single" w:sz="10" w:color="A6A6A6"/>
              <w:top w:val="single" w:sz="10" w:color="A6A6A6"/>
              <w:right w:val="single" w:sz="10" w:color="A6A6A6"/>
              <w:bottom w:val="single" w:sz="10" w:color="A6A6A6"/>
            </w:tcBorders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Replacement BMU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→</w:t>
            </w:r>
          </w:p>
          <w:p>
            <w:pPr>
              <w:jc w:val="center"/>
            </w:pPr>
            <w:r>
              <w:rPr>
                <w:sz w:val="16"/>
              </w:rPr>
              <w:t>isoSPI / control /</w:t>
              <w:br/>
              <w:t>measurements / faults</w:t>
            </w:r>
          </w:p>
        </w:tc>
        <w:tc>
          <w:tcPr>
            <w:tcW w:type="dxa" w:w="2448"/>
            <w:vAlign w:val="center"/>
            <w:shd w:fill="E2F0D9"/>
            <w:tcBorders>
              <w:left w:val="single" w:sz="10" w:color="A6A6A6"/>
              <w:top w:val="single" w:sz="10" w:color="A6A6A6"/>
              <w:right w:val="single" w:sz="10" w:color="A6A6A6"/>
              <w:bottom w:val="single" w:sz="10" w:color="A6A6A6"/>
            </w:tcBorders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CSC board(s)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/>
                <w:sz w:val="36"/>
              </w:rPr>
              <w:t>→</w:t>
            </w:r>
          </w:p>
          <w:p>
            <w:pPr>
              <w:jc w:val="center"/>
            </w:pPr>
            <w:r>
              <w:rPr>
                <w:sz w:val="16"/>
              </w:rPr>
              <w:t>I2C / NVM access /</w:t>
              <w:br/>
              <w:t>parameter storage</w:t>
            </w:r>
          </w:p>
        </w:tc>
        <w:tc>
          <w:tcPr>
            <w:tcW w:type="dxa" w:w="1872"/>
            <w:vAlign w:val="center"/>
            <w:shd w:fill="FFF2CC"/>
            <w:tcBorders>
              <w:left w:val="single" w:sz="10" w:color="A6A6A6"/>
              <w:top w:val="single" w:sz="10" w:color="A6A6A6"/>
              <w:right w:val="single" w:sz="10" w:color="A6A6A6"/>
              <w:bottom w:val="single" w:sz="10" w:color="A6A6A6"/>
            </w:tcBorders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EEPROM /</w:t>
              <w:br/>
              <w:t>NVM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i/>
                <w:color w:val="606060"/>
                <w:sz w:val="16"/>
              </w:rPr>
              <w:t>Fill in physical interface, CAN IDs, message names, timing, test sequences</w:t>
            </w:r>
          </w:p>
        </w:tc>
        <w:tc>
          <w:tcPr>
            <w:tcW w:type="dxa" w:w="792"/>
          </w:tcPr>
          <w:p/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i/>
                <w:color w:val="606060"/>
                <w:sz w:val="16"/>
              </w:rPr>
              <w:t>Fill in BMU state machine, command handling, balancing logic, diagnostics</w:t>
            </w:r>
          </w:p>
        </w:tc>
        <w:tc>
          <w:tcPr>
            <w:tcW w:type="dxa" w:w="864"/>
          </w:tcPr>
          <w:p/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i/>
                <w:color w:val="606060"/>
                <w:sz w:val="16"/>
              </w:rPr>
              <w:t>Fill in AFE count, cell map, GPIO/NTC map, balancing channels, protection logic</w:t>
            </w:r>
          </w:p>
        </w:tc>
        <w:tc>
          <w:tcPr>
            <w:tcW w:type="dxa" w:w="792"/>
          </w:tcPr>
          <w:p/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i/>
                <w:color w:val="606060"/>
                <w:sz w:val="16"/>
              </w:rPr>
              <w:t>Fill in memory map, data ownership, update rules, CRC/checksum, defaults</w:t>
            </w:r>
          </w:p>
        </w:tc>
      </w:tr>
    </w:tbl>
    <w:p/>
    <w:p>
      <w:pPr>
        <w:pStyle w:val="SmallGray"/>
      </w:pPr>
      <w:r>
        <w:rPr>
          <w:b/>
        </w:rPr>
        <w:t xml:space="preserve">Tip: </w:t>
      </w:r>
      <w:r>
        <w:t>This diagram is only the front page view. The real handoff should be backed by the detailed tables below.</w:t>
      </w:r>
    </w:p>
    <w:p>
      <w:pPr>
        <w:pStyle w:val="HeadingBlue"/>
      </w:pPr>
      <w:r>
        <w:t>2. Information Request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4896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to Request</w:t>
            </w:r>
          </w:p>
        </w:tc>
        <w:tc>
          <w:tcPr>
            <w:tcW w:type="dxa" w:w="374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Why It Matters</w:t>
            </w:r>
          </w:p>
        </w:tc>
        <w:tc>
          <w:tcPr>
            <w:tcW w:type="dxa" w:w="100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Provided?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8FB"/>
          </w:tcPr>
          <w:p>
            <w:pPr>
              <w:jc w:val="left"/>
            </w:pPr>
            <w:r>
              <w:rPr>
                <w:sz w:val="18"/>
              </w:rPr>
              <w:t>Tester ↔ BMU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Physical interface, CAN IDs, DBC/message list, byte layout, mux usage, expected command/response flow, timing and retry rules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Needed to implement the external control/diagnostic interface and test workflow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8FB"/>
          </w:tcPr>
          <w:p>
            <w:pPr>
              <w:jc w:val="left"/>
            </w:pPr>
            <w:r>
              <w:rPr>
                <w:sz w:val="18"/>
              </w:rPr>
              <w:t>BMU ↔ CSC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isoSPI topology, number of AFE devices, wake-up/startup sequence, polling sequence, fault reporting, balancing commands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Needed to bring up the CSC stack and match existing system behavior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8FB"/>
          </w:tcPr>
          <w:p>
            <w:pPr>
              <w:jc w:val="left"/>
            </w:pPr>
            <w:r>
              <w:rPr>
                <w:sz w:val="18"/>
              </w:rPr>
              <w:t>CSC hardware map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Cell-to-AFE mapping, temperature input map, balancing channel map, GPIO usage, unused pins, protection or interlock signals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Needed for firmware configuration and validation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8FB"/>
          </w:tcPr>
          <w:p>
            <w:pPr>
              <w:jc w:val="left"/>
            </w:pPr>
            <w:r>
              <w:rPr>
                <w:sz w:val="18"/>
              </w:rPr>
              <w:t>EEPROM / NVM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Memory map, parameter meanings, default values, scaling, write/update rules, integrity checks, manufacturing/programming flow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Needed to preserve calibration/configuration compatibility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8FB"/>
          </w:tcPr>
          <w:p>
            <w:pPr>
              <w:jc w:val="left"/>
            </w:pPr>
            <w:r>
              <w:rPr>
                <w:sz w:val="18"/>
              </w:rPr>
              <w:t>System behavior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State machine, startup/shutdown conditions, fault reactions, degraded modes, watchdog/supervision behavior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Needed because replacement is behavioral, not only electrical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8FB"/>
          </w:tcPr>
          <w:p>
            <w:pPr>
              <w:jc w:val="left"/>
            </w:pPr>
            <w:r>
              <w:rPr>
                <w:sz w:val="18"/>
              </w:rPr>
              <w:t>Diagnostics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Fault codes, DTC mapping, tester-visible status, event logging, clear/reset rules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Needed for service tooling and verification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Blue"/>
      </w:pPr>
      <w:r>
        <w:t>3. Interface Detail Tables (Fill-In)</w:t>
      </w:r>
    </w:p>
    <w:p>
      <w:r>
        <w:rPr>
          <w:b/>
          <w:color w:val="1F4E79"/>
          <w:sz w:val="22"/>
        </w:rPr>
        <w:t>A. Tester / AkaTool ↔ BMU message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00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Message / Command</w:t>
            </w:r>
          </w:p>
        </w:tc>
        <w:tc>
          <w:tcPr>
            <w:tcW w:type="dxa" w:w="1152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Direction</w:t>
            </w:r>
          </w:p>
        </w:tc>
        <w:tc>
          <w:tcPr>
            <w:tcW w:type="dxa" w:w="1296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Interface</w:t>
            </w:r>
          </w:p>
        </w:tc>
        <w:tc>
          <w:tcPr>
            <w:tcW w:type="dxa" w:w="1584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ID / Service</w:t>
            </w:r>
          </w:p>
        </w:tc>
        <w:tc>
          <w:tcPr>
            <w:tcW w:type="dxa" w:w="2592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Payload fields / scaling</w:t>
            </w:r>
          </w:p>
        </w:tc>
        <w:tc>
          <w:tcPr>
            <w:tcW w:type="dxa" w:w="1584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Trigger / timing</w:t>
            </w:r>
          </w:p>
        </w:tc>
        <w:tc>
          <w:tcPr>
            <w:tcW w:type="dxa" w:w="1872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Expected response / notes</w:t>
            </w:r>
          </w:p>
        </w:tc>
      </w:tr>
      <w:tr>
        <w:tc>
          <w:tcPr>
            <w:tcW w:type="dxa" w:w="180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152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296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584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2592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584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872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</w:tr>
      <w:tr>
        <w:tc>
          <w:tcPr>
            <w:tcW w:type="dxa" w:w="180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152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296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584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2592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584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872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</w:tr>
      <w:tr>
        <w:tc>
          <w:tcPr>
            <w:tcW w:type="dxa" w:w="180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152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296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584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2592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584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872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</w:tr>
      <w:tr>
        <w:tc>
          <w:tcPr>
            <w:tcW w:type="dxa" w:w="180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152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296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584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2592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584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872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</w:tr>
      <w:tr>
        <w:tc>
          <w:tcPr>
            <w:tcW w:type="dxa" w:w="180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152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296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584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2592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584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872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</w:tr>
    </w:tbl>
    <w:p/>
    <w:p>
      <w:r>
        <w:rPr>
          <w:b/>
          <w:color w:val="1F4E79"/>
          <w:sz w:val="22"/>
        </w:rPr>
        <w:t>B. BMU ↔ CSC (ADBMS6833 stack)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656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Function</w:t>
            </w:r>
          </w:p>
        </w:tc>
        <w:tc>
          <w:tcPr>
            <w:tcW w:type="dxa" w:w="1152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Direction</w:t>
            </w:r>
          </w:p>
        </w:tc>
        <w:tc>
          <w:tcPr>
            <w:tcW w:type="dxa" w:w="1440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Physical link</w:t>
            </w:r>
          </w:p>
        </w:tc>
        <w:tc>
          <w:tcPr>
            <w:tcW w:type="dxa" w:w="1944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Sequence / state</w:t>
            </w:r>
          </w:p>
        </w:tc>
        <w:tc>
          <w:tcPr>
            <w:tcW w:type="dxa" w:w="2160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Key parameters</w:t>
            </w:r>
          </w:p>
        </w:tc>
        <w:tc>
          <w:tcPr>
            <w:tcW w:type="dxa" w:w="1728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Error handling</w:t>
            </w:r>
          </w:p>
        </w:tc>
        <w:tc>
          <w:tcPr>
            <w:tcW w:type="dxa" w:w="1440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Reference doc / owner</w:t>
            </w:r>
          </w:p>
        </w:tc>
      </w:tr>
      <w:tr>
        <w:tc>
          <w:tcPr>
            <w:tcW w:type="dxa" w:w="1656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152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44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944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216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72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44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</w:tr>
      <w:tr>
        <w:tc>
          <w:tcPr>
            <w:tcW w:type="dxa" w:w="1656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152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44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944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216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72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44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</w:tr>
      <w:tr>
        <w:tc>
          <w:tcPr>
            <w:tcW w:type="dxa" w:w="1656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152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44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944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216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72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44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</w:tr>
      <w:tr>
        <w:tc>
          <w:tcPr>
            <w:tcW w:type="dxa" w:w="1656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152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44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944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216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72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44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</w:tr>
      <w:tr>
        <w:tc>
          <w:tcPr>
            <w:tcW w:type="dxa" w:w="1656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152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44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944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216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72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44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</w:tr>
    </w:tbl>
    <w:p/>
    <w:p>
      <w:r>
        <w:rPr>
          <w:b/>
          <w:color w:val="1F4E79"/>
          <w:sz w:val="22"/>
        </w:rPr>
        <w:t>C. EEPROM / NVM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728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Data block / area</w:t>
            </w:r>
          </w:p>
        </w:tc>
        <w:tc>
          <w:tcPr>
            <w:tcW w:type="dxa" w:w="1440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Address / range</w:t>
            </w:r>
          </w:p>
        </w:tc>
        <w:tc>
          <w:tcPr>
            <w:tcW w:type="dxa" w:w="2304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Meaning</w:t>
            </w:r>
          </w:p>
        </w:tc>
        <w:tc>
          <w:tcPr>
            <w:tcW w:type="dxa" w:w="1440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Format / units</w:t>
            </w:r>
          </w:p>
        </w:tc>
        <w:tc>
          <w:tcPr>
            <w:tcW w:type="dxa" w:w="1296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Written by</w:t>
            </w:r>
          </w:p>
        </w:tc>
        <w:tc>
          <w:tcPr>
            <w:tcW w:type="dxa" w:w="1296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Read by</w:t>
            </w:r>
          </w:p>
        </w:tc>
        <w:tc>
          <w:tcPr>
            <w:tcW w:type="dxa" w:w="1728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Validation / CRC / notes</w:t>
            </w:r>
          </w:p>
        </w:tc>
      </w:tr>
      <w:tr>
        <w:tc>
          <w:tcPr>
            <w:tcW w:type="dxa" w:w="172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44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2304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44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296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296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72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</w:tr>
      <w:tr>
        <w:tc>
          <w:tcPr>
            <w:tcW w:type="dxa" w:w="172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44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2304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44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296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296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72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</w:tr>
      <w:tr>
        <w:tc>
          <w:tcPr>
            <w:tcW w:type="dxa" w:w="172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44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2304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44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296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296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72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</w:tr>
      <w:tr>
        <w:tc>
          <w:tcPr>
            <w:tcW w:type="dxa" w:w="172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44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2304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44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296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296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72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</w:tr>
      <w:tr>
        <w:tc>
          <w:tcPr>
            <w:tcW w:type="dxa" w:w="172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44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2304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440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296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296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172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left"/>
            </w:pPr>
            <w:r>
              <w:t xml:space="preserve"> </w:t>
            </w:r>
          </w:p>
        </w:tc>
      </w:tr>
    </w:tbl>
    <w:p/>
    <w:p>
      <w:pPr>
        <w:pStyle w:val="HeadingBlue"/>
      </w:pPr>
      <w:r>
        <w:t>4. Suggested Attachments to Request</w:t>
      </w:r>
    </w:p>
    <w:p>
      <w:pPr>
        <w:pStyle w:val="ListBullet"/>
      </w:pPr>
      <w:r>
        <w:t>Current BMU–tester message definition or DBC.</w:t>
      </w:r>
    </w:p>
    <w:p>
      <w:pPr>
        <w:pStyle w:val="ListBullet"/>
      </w:pPr>
      <w:r>
        <w:t>CSC schematic set and ADBMS6833 configuration details.</w:t>
      </w:r>
    </w:p>
    <w:p>
      <w:pPr>
        <w:pStyle w:val="ListBullet"/>
      </w:pPr>
      <w:r>
        <w:t>EEPROM / NVM layout, parameter list, and manufacturing defaults.</w:t>
      </w:r>
    </w:p>
    <w:p>
      <w:pPr>
        <w:pStyle w:val="ListBullet"/>
      </w:pPr>
      <w:r>
        <w:t>Startup, balancing, and fault-handling sequence descriptions.</w:t>
      </w:r>
    </w:p>
    <w:p>
      <w:pPr>
        <w:pStyle w:val="ListBullet"/>
      </w:pPr>
      <w:r>
        <w:t>Any existing software interface specification, test scripts, or service procedures.</w:t>
      </w:r>
    </w:p>
    <w:p>
      <w:pPr>
        <w:jc w:val="left"/>
      </w:pPr>
      <w:r>
        <w:rPr>
          <w:i/>
          <w:color w:val="606060"/>
          <w:sz w:val="17"/>
        </w:rPr>
        <w:t>Prepared as a reusable template for interface-definition discussions.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ue">
    <w:name w:val="TitleBlue"/>
    <w:basedOn w:val="Title"/>
    <w:rPr>
      <w:rFonts w:ascii="Aptos" w:hAnsi="Aptos"/>
      <w:b/>
      <w:color w:val="1F4E79"/>
      <w:sz w:val="36"/>
    </w:rPr>
  </w:style>
  <w:style w:type="paragraph" w:customStyle="1" w:styleId="HeadingBlue">
    <w:name w:val="HeadingBlue"/>
    <w:basedOn w:val="Heading1"/>
    <w:rPr>
      <w:rFonts w:ascii="Aptos" w:hAnsi="Aptos"/>
      <w:b/>
      <w:color w:val="1F4E79"/>
      <w:sz w:val="24"/>
    </w:rPr>
  </w:style>
  <w:style w:type="paragraph" w:customStyle="1" w:styleId="SmallGray">
    <w:name w:val="SmallGray"/>
    <w:basedOn w:val="Normal"/>
    <w:rPr>
      <w:rFonts w:ascii="Aptos" w:hAnsi="Aptos"/>
      <w:color w:val="60606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