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452E" w14:textId="77777777" w:rsidR="00E93E3E" w:rsidRDefault="00000000" w:rsidP="00BD26F1">
      <w:pPr>
        <w:pStyle w:val="FirstParagraph"/>
        <w:spacing w:before="240" w:after="0" w:line="480" w:lineRule="auto"/>
        <w:rPr>
          <w:b/>
          <w:bCs/>
        </w:rPr>
      </w:pPr>
      <w:r>
        <w:rPr>
          <w:b/>
          <w:bCs/>
        </w:rPr>
        <w:t>Title: Scale-Aligned Comparison of Sum-Score and Latent-Variable Growth Models: Parameter Recovery under Correlated Uniqueness</w:t>
      </w:r>
    </w:p>
    <w:p w14:paraId="55EF735B" w14:textId="77777777" w:rsidR="0016086E" w:rsidRDefault="00EA6270" w:rsidP="00EA6270">
      <w:pPr>
        <w:spacing w:before="360" w:after="300" w:line="360" w:lineRule="auto"/>
        <w:ind w:left="720" w:right="567"/>
        <w:rPr>
          <w:sz w:val="22"/>
          <w:lang w:val="en-GB" w:eastAsia="en-GB"/>
        </w:rPr>
      </w:pPr>
      <w:r w:rsidRPr="00EA6270">
        <w:rPr>
          <w:sz w:val="22"/>
          <w:lang w:val="en-GB" w:eastAsia="en-GB"/>
        </w:rPr>
        <w:t>abstract here</w:t>
      </w:r>
    </w:p>
    <w:p w14:paraId="3418BFCF" w14:textId="77777777" w:rsidR="0016086E" w:rsidRDefault="0016086E" w:rsidP="00EA6270">
      <w:pPr>
        <w:spacing w:before="360" w:after="300" w:line="360" w:lineRule="auto"/>
        <w:ind w:left="720" w:right="567"/>
        <w:rPr>
          <w:sz w:val="22"/>
          <w:lang w:val="en-GB" w:eastAsia="en-GB"/>
        </w:rPr>
      </w:pPr>
    </w:p>
    <w:p w14:paraId="0FDB3672" w14:textId="77777777" w:rsidR="0016086E" w:rsidRDefault="0016086E" w:rsidP="00EA6270">
      <w:pPr>
        <w:spacing w:before="360" w:after="300" w:line="360" w:lineRule="auto"/>
        <w:ind w:left="720" w:right="567"/>
        <w:rPr>
          <w:sz w:val="22"/>
          <w:lang w:val="en-GB" w:eastAsia="en-GB"/>
        </w:rPr>
      </w:pPr>
    </w:p>
    <w:p w14:paraId="7DA2EE21" w14:textId="52F4AE9A" w:rsidR="00EA6270" w:rsidRPr="00EA6270" w:rsidRDefault="00D578A1" w:rsidP="00EA6270">
      <w:pPr>
        <w:spacing w:before="360" w:after="300" w:line="360" w:lineRule="auto"/>
        <w:ind w:left="720" w:right="567"/>
        <w:rPr>
          <w:sz w:val="22"/>
          <w:lang w:val="en-GB" w:eastAsia="en-GB"/>
        </w:rPr>
      </w:pPr>
      <w:r w:rsidRPr="00EA6270">
        <w:rPr>
          <w:sz w:val="22"/>
          <w:lang w:val="en-GB" w:eastAsia="en-GB"/>
        </w:rPr>
        <w:t>.</w:t>
      </w:r>
      <w:r>
        <w:rPr>
          <w:sz w:val="22"/>
          <w:lang w:val="en-GB" w:eastAsia="en-GB"/>
        </w:rPr>
        <w:t xml:space="preserve"> </w:t>
      </w:r>
    </w:p>
    <w:p w14:paraId="6E96542F" w14:textId="77777777" w:rsidR="00EA6270" w:rsidRPr="00EA6270" w:rsidRDefault="00EA6270" w:rsidP="00EA6270">
      <w:pPr>
        <w:spacing w:before="240" w:after="240" w:line="360" w:lineRule="auto"/>
        <w:ind w:left="720" w:right="567"/>
        <w:rPr>
          <w:sz w:val="22"/>
          <w:lang w:val="en-GB" w:eastAsia="en-GB"/>
        </w:rPr>
      </w:pPr>
      <w:r w:rsidRPr="00EA6270">
        <w:rPr>
          <w:sz w:val="22"/>
          <w:lang w:val="en-GB" w:eastAsia="en-GB"/>
        </w:rPr>
        <w:t>Keywords: word; another word; lower case except names</w:t>
      </w:r>
    </w:p>
    <w:p w14:paraId="7B898170" w14:textId="77777777" w:rsidR="00EA6270" w:rsidRPr="00EA6270" w:rsidRDefault="00EA6270" w:rsidP="00EA6270">
      <w:pPr>
        <w:pStyle w:val="BodyText"/>
        <w:rPr>
          <w:lang w:val="en-GB"/>
        </w:rPr>
      </w:pPr>
    </w:p>
    <w:p w14:paraId="2D94B866" w14:textId="06020397" w:rsidR="00E93E3E" w:rsidRDefault="00103D0C" w:rsidP="00BD26F1">
      <w:pPr>
        <w:pStyle w:val="Heading1"/>
        <w:spacing w:before="360" w:after="58" w:line="360" w:lineRule="auto"/>
        <w:ind w:right="562"/>
      </w:pPr>
      <w:bookmarkStart w:id="0" w:name="introduction"/>
      <w:r>
        <w:t xml:space="preserve">1 </w:t>
      </w:r>
      <w:r w:rsidR="00000000">
        <w:t>Introduction</w:t>
      </w:r>
    </w:p>
    <w:p w14:paraId="148030F6" w14:textId="77777777" w:rsidR="001F0C7A" w:rsidRDefault="000C1955" w:rsidP="00BD26F1">
      <w:pPr>
        <w:pStyle w:val="Compact"/>
        <w:widowControl w:val="0"/>
        <w:spacing w:before="240" w:after="0" w:line="480" w:lineRule="auto"/>
      </w:pPr>
      <w:r>
        <w:t>Historically, sum scores have been widely used due</w:t>
      </w:r>
      <w:r w:rsidR="00D94E90">
        <w:rPr>
          <w:rFonts w:hint="eastAsia"/>
          <w:lang w:eastAsia="ko-KR"/>
        </w:rPr>
        <w:t xml:space="preserve"> </w:t>
      </w:r>
      <w:r>
        <w:t>to their simplicity and interpretability</w:t>
      </w:r>
      <w:r w:rsidR="001630F7">
        <w:rPr>
          <w:rFonts w:hint="eastAsia"/>
          <w:lang w:eastAsia="ko-KR"/>
        </w:rPr>
        <w:t xml:space="preserve">, </w:t>
      </w:r>
      <w:r w:rsidR="001630F7" w:rsidRPr="001630F7">
        <w:t xml:space="preserve">which makes them favorable </w:t>
      </w:r>
      <w:r w:rsidR="000C3FF1">
        <w:t>for</w:t>
      </w:r>
      <w:r>
        <w:t xml:space="preserve"> replication and interdisciplinary communication</w:t>
      </w:r>
      <w:r w:rsidR="00D94E90">
        <w:t xml:space="preserve"> purposes</w:t>
      </w:r>
      <w:r w:rsidR="001630F7">
        <w:rPr>
          <w:rFonts w:hint="eastAsia"/>
          <w:lang w:eastAsia="ko-KR"/>
        </w:rPr>
        <w:t xml:space="preserve"> </w:t>
      </w:r>
      <w:r w:rsidR="001630F7">
        <w:rPr>
          <w:lang w:eastAsia="ko-KR"/>
        </w:rPr>
        <w:fldChar w:fldCharType="begin"/>
      </w:r>
      <w:r w:rsidR="00AD7317">
        <w:rPr>
          <w:lang w:eastAsia="ko-KR"/>
        </w:rPr>
        <w:instrText xml:space="preserve"> ADDIN ZOTERO_ITEM CSL_CITATION {"citationID":"rkTzEn3X","properties":{"unsorted":false,"formattedCitation":"(Sijtsma et al., 2024b; Widaman &amp; Revelle, 2024)","plainCitation":"(Sijtsma et al., 2024b; Widaman &amp; Revelle, 2024)","noteIndex":0},"citationItems":[{"id":53,"uris":["http://zotero.org/users/13944956/items/4DUB3DEP"],"itemData":{"id":53,"type":"article-journal","abstract":"In this rejoinder to McNeish (2024) and Mislevy (2024), who both responded to our focus article on the merits of the simple sum score (Sijtsma et al., 2024), we address several issues. Psychometrics education and in particular psychometricians’ outreach may help researchers to use IRT models as a precursor for the responsible use of the latent variable score and the sum score. Different methods used for test and questionnaire construction often do not produce highly different results, and when they do, this may be due to an unarticulated attribute theory generating noisy data. The sum score and transformations thereof, such as normalized test scores and percentiles, may help test practitioners and their clients to better communicate results. Latent variables prove important in more advanced applications such as equating and adaptive testing where they serve as technical tools rather than communication devices. Decisions based on test results are often binary or use a rather coarse ordering of scale levels, hence, do not require a high level of granularity (but nevertheless need to be precise). A gap exists between psychology and psychometrics which is growing deeper and wider, and that needs to be bridged. Psychology and psychometrics must work together to attain this goal.","container-title":"Psychometrika","DOI":"10.1007/s11336-024-10004-7","ISSN":"0033-3123, 1860-0980","issue":"4","journalAbbreviation":"Psychometrika","language":"en","license":"http://creativecommons.org/licenses/by/4.0/","page":"1175-1185","source":"DOI.org (Crossref)","title":"Rejoinder to McNeish and Mislevy: What Does Psychological Measurement Require?","title-short":"Rejoinder to McNeish and Mislevy","volume":"89","author":[{"family":"Sijtsma","given":"Klaas"},{"family":"Ellis","given":"Jules L."},{"family":"Borsboom","given":"Denny"}],"issued":{"date-parts":[["2024",12]]}}},{"id":104,"uris":["http://zotero.org/users/13944956/items/BW2QYZ9G"],"itemData":{"id":104,"type":"article-journal","container-title":"Educational and Psychological Measurement","issue":"4","note":"publisher: SAGE Publications Sage CA: Los Angeles, CA","page":"637–659","title":"Thinking about sum scores yet again, maybe the last time, we don’t know, Oh no...: a comment on","volume":"84","author":[{"family":"Widaman","given":"Keith F"},{"family":"Revelle","given":"William"}],"issued":{"date-parts":[["2024"]]}}}],"schema":"https://github.com/citation-style-language/schema/raw/master/csl-citation.json"} </w:instrText>
      </w:r>
      <w:r w:rsidR="001630F7">
        <w:rPr>
          <w:lang w:eastAsia="ko-KR"/>
        </w:rPr>
        <w:fldChar w:fldCharType="separate"/>
      </w:r>
      <w:r w:rsidR="00AD7317">
        <w:rPr>
          <w:noProof/>
          <w:lang w:eastAsia="ko-KR"/>
        </w:rPr>
        <w:t>(Sijtsma et al., 2024b; Widaman &amp; Revelle, 2024)</w:t>
      </w:r>
      <w:r w:rsidR="001630F7">
        <w:rPr>
          <w:lang w:eastAsia="ko-KR"/>
        </w:rPr>
        <w:fldChar w:fldCharType="end"/>
      </w:r>
      <w:r>
        <w:t xml:space="preserve">. </w:t>
      </w:r>
      <w:r w:rsidR="0078631C" w:rsidRPr="0078631C">
        <w:t xml:space="preserve">When a set of items is </w:t>
      </w:r>
      <w:r w:rsidR="00BC45F6">
        <w:t xml:space="preserve">approximately </w:t>
      </w:r>
      <w:r w:rsidR="0078631C" w:rsidRPr="0078631C">
        <w:t>unidimensional, the sum score</w:t>
      </w:r>
      <w:r w:rsidR="00AD7317">
        <w:t xml:space="preserve"> can</w:t>
      </w:r>
      <w:r w:rsidR="0078631C" w:rsidRPr="0078631C">
        <w:t xml:space="preserve"> provide a </w:t>
      </w:r>
      <w:r w:rsidR="0078631C">
        <w:t>practical</w:t>
      </w:r>
      <w:r w:rsidR="0078631C" w:rsidRPr="0078631C">
        <w:t xml:space="preserve"> summary of the underlying </w:t>
      </w:r>
      <w:r w:rsidR="0078631C">
        <w:t>construct</w:t>
      </w:r>
      <w:r w:rsidR="0078631C" w:rsidRPr="0078631C">
        <w:t xml:space="preserve"> </w:t>
      </w:r>
      <w:r w:rsidR="00AD7317">
        <w:fldChar w:fldCharType="begin"/>
      </w:r>
      <w:r w:rsidR="00AD7317">
        <w:instrText xml:space="preserve"> ADDIN ZOTERO_ITEM CSL_CITATION {"citationID":"zs42RYrd","properties":{"unsorted":false,"formattedCitation":"(Sijtsma et al., 2024a)","plainCitation":"(Sijtsma et al., 2024a)","noteIndex":0},"citationItems":[{"id":9,"uris":["http://zotero.org/users/13944956/items/3M8EM64M"],"itemData":{"id":9,"type":"article-journal","abstract":"The sum score on a psychological test is, and should continue to be, a tool central in psychometric practice. This position runs counter to several psychometricians’ belief that the sum score represents a pre-scientiﬁc conception that must be abandoned from psychometrics in favor of latent variables. First, we reiterate that the sum score stochastically orders the latent variable in a wide variety of much-used item response models. In fact, item response theory provides a mathematically based justiﬁcation for the ordinal use of the sum score. Second, because discussions about the sum score often involve its reliability and estimation methods as well, we show that, based on very general assumptions, classical test theory provides a family of lower bounds several of which are close to the true reliability under reasonable conditions. Finally, we argue that eventually sum scores derive their value from the degree to which they enable predicting practically relevant events and behaviors. None of our discussion is meant to discredit modern measurement models; they have their own merits unattainable for classical test theory, but the latter model provides impressive contributions to psychometrics based on very few assumptions that seem to have become obscured in the past few decades. Their generality and practical usefulness add to the accomplishments of more recent approaches.","container-title":"Psychometrika","DOI":"10.1007/s11336-024-09964-7","ISSN":"0033-3123, 1860-0980","issue":"1","journalAbbreviation":"Psychometrika","language":"en","license":"http://creativecommons.org/licenses/by/4.0/","page":"84-117","source":"DOI.org (Crossref)","title":"Recognize the Value of the Sum Score, Psychometrics’ Greatest Accomplishment","volume":"89","author":[{"family":"Sijtsma","given":"Klaas"},{"family":"Ellis","given":"Jules L."},{"family":"Borsboom","given":"Denny"}],"issued":{"date-parts":[["2024",3]]}}}],"schema":"https://github.com/citation-style-language/schema/raw/master/csl-citation.json"} </w:instrText>
      </w:r>
      <w:r w:rsidR="00AD7317">
        <w:fldChar w:fldCharType="separate"/>
      </w:r>
      <w:r w:rsidR="00AD7317">
        <w:rPr>
          <w:noProof/>
        </w:rPr>
        <w:t>(Sijtsma et al., 2024a)</w:t>
      </w:r>
      <w:r w:rsidR="00AD7317">
        <w:fldChar w:fldCharType="end"/>
      </w:r>
      <w:r w:rsidR="00D94E90">
        <w:rPr>
          <w:rFonts w:hint="eastAsia"/>
          <w:lang w:eastAsia="ko-KR"/>
        </w:rPr>
        <w:t xml:space="preserve"> </w:t>
      </w:r>
      <w:r w:rsidR="00466A30">
        <w:rPr>
          <w:lang w:eastAsia="ko-KR"/>
        </w:rPr>
        <w:t>and</w:t>
      </w:r>
      <w:r w:rsidR="00AD7317">
        <w:rPr>
          <w:lang w:eastAsia="ko-KR"/>
        </w:rPr>
        <w:t xml:space="preserve"> even perform better in cross-validation across samples </w:t>
      </w:r>
      <w:r w:rsidR="00AD7317">
        <w:rPr>
          <w:lang w:eastAsia="ko-KR"/>
        </w:rPr>
        <w:fldChar w:fldCharType="begin"/>
      </w:r>
      <w:r w:rsidR="00AD7317">
        <w:rPr>
          <w:lang w:eastAsia="ko-KR"/>
        </w:rPr>
        <w:instrText xml:space="preserve"> ADDIN ZOTERO_ITEM CSL_CITATION {"citationID":"bPpir4eM","properties":{"unsorted":false,"formattedCitation":"(Widaman &amp; Revelle, 2024)","plainCitation":"(Widaman &amp; Revelle, 2024)","noteIndex":0},"citationItems":[{"id":104,"uris":["http://zotero.org/users/13944956/items/BW2QYZ9G"],"itemData":{"id":104,"type":"article-journal","container-title":"Educational and Psychological Measurement","issue":"4","note":"publisher: SAGE Publications Sage CA: Los Angeles, CA","page":"637–659","title":"Thinking about sum scores yet again, maybe the last time, we don’t know, Oh no...: a comment on","volume":"84","author":[{"family":"Widaman","given":"Keith F"},{"family":"Revelle","given":"William"}],"issued":{"date-parts":[["2024"]]}}}],"schema":"https://github.com/citation-style-language/schema/raw/master/csl-citation.json"} </w:instrText>
      </w:r>
      <w:r w:rsidR="00AD7317">
        <w:rPr>
          <w:lang w:eastAsia="ko-KR"/>
        </w:rPr>
        <w:fldChar w:fldCharType="separate"/>
      </w:r>
      <w:r w:rsidR="00AD7317">
        <w:rPr>
          <w:noProof/>
          <w:lang w:eastAsia="ko-KR"/>
        </w:rPr>
        <w:t>(Widaman &amp; Revelle, 2024)</w:t>
      </w:r>
      <w:r w:rsidR="00AD7317">
        <w:rPr>
          <w:lang w:eastAsia="ko-KR"/>
        </w:rPr>
        <w:fldChar w:fldCharType="end"/>
      </w:r>
      <w:r w:rsidR="00466A30">
        <w:rPr>
          <w:lang w:eastAsia="ko-KR"/>
        </w:rPr>
        <w:t xml:space="preserve">. </w:t>
      </w:r>
      <w:r w:rsidR="0078631C" w:rsidRPr="0078631C">
        <w:t>These properties, however, rest on assumptions including uncorrelated errors</w:t>
      </w:r>
      <w:r w:rsidR="0078631C">
        <w:t xml:space="preserve"> </w:t>
      </w:r>
      <w:r w:rsidR="0078631C" w:rsidRPr="0078631C">
        <w:t>and measurement invariance</w:t>
      </w:r>
      <w:r w:rsidR="0078631C">
        <w:t xml:space="preserve"> across </w:t>
      </w:r>
      <w:r w:rsidR="001630F7">
        <w:t>occasions</w:t>
      </w:r>
      <w:r w:rsidR="0078631C" w:rsidRPr="0078631C">
        <w:t>.</w:t>
      </w:r>
      <w:r w:rsidR="001630F7">
        <w:rPr>
          <w:rFonts w:hint="eastAsia"/>
          <w:lang w:eastAsia="ko-KR"/>
        </w:rPr>
        <w:t xml:space="preserve"> </w:t>
      </w:r>
      <w:r w:rsidR="00466A30">
        <w:t xml:space="preserve">Because </w:t>
      </w:r>
      <w:r w:rsidR="006A5BF8">
        <w:t xml:space="preserve">sum-score </w:t>
      </w:r>
      <w:r w:rsidR="001630F7">
        <w:t>does not separate measurement error at the latent level</w:t>
      </w:r>
      <w:r w:rsidR="006A5BF8">
        <w:t xml:space="preserve">, </w:t>
      </w:r>
      <w:r>
        <w:t>their validity is often questioned</w:t>
      </w:r>
      <w:r w:rsidR="006A5BF8">
        <w:t>,</w:t>
      </w:r>
      <w:r>
        <w:t xml:space="preserve"> especially when</w:t>
      </w:r>
      <w:r>
        <w:t xml:space="preserve"> </w:t>
      </w:r>
      <w:r>
        <w:t>evidence of construct validity is not fully disclosed</w:t>
      </w:r>
      <w:r w:rsidR="00BC45F6">
        <w:t xml:space="preserve"> </w:t>
      </w:r>
      <w:r w:rsidR="00BC45F6">
        <w:fldChar w:fldCharType="begin"/>
      </w:r>
      <w:r w:rsidR="00BC45F6">
        <w:instrText xml:space="preserve"> ADDIN ZOTERO_ITEM CSL_CITATION {"citationID":"ywJ6fxGF","properties":{"unsorted":false,"formattedCitation":"(McNeish, 2024)","plainCitation":"(McNeish, 2024)","noteIndex":0},"citationItems":[{"id":6,"uris":["http://zotero.org/users/13944956/items/PDEV8IZN"],"itemData":{"id":6,"type":"article-journal","abstract":"This paper reﬂects on some practical implications of the excellent treatment of sum scoring and classical test theory (CTT) by Sijtsma et al. (Psychometrika 89(1):84–117, 2024). I have no major disagreements about the content they present and found it to be an informative clariﬁcation of the properties and possible extensions of CTT. In this paper, I focus on whether sum scores—despite their mathematical justiﬁcation—are positioned to improve psychometric practice in empirical studies in psychology, education, and adjacent areas. First, I summarize recent reviews of psychometric practice in empirical studies, subsequent calls for greater psychometric transparency and validity, and how sum scores may or may not be positioned to adhere to such calls. Second, I consider limitations of sum scores for prediction, especially in the presence of common features like ordinal or Likert response scales, multidimensional constructs, and moderated or heterogeneous associations. Third, I review previous research outlining potential limitations of using sum scores as outcomes in subsequent analyses where rank ordering is not always sufﬁcient to successfully characterize group differences or change over time. Fourth, I cover potential challenges for providing validity evidence for whether sum scores represent a single construct, particularly if one wishes to maintain minimal CTT assumptions. I conclude with thoughts about whether sum scores—even if mathematically justiﬁed—are positioned to improve psychometric practice in empirical studies.","container-title":"Psychometrika","DOI":"10.1007/s11336-024-09988-z","ISSN":"0033-3123, 1860-0980","issue":"4","journalAbbreviation":"Psychometrika","language":"en","license":"https://www.cambridge.org/core/terms","page":"1148-1169","source":"DOI.org (Crossref)","title":"Practical Implications of Sum Scores Being Psychometrics’ Greatest Accomplishment","volume":"89","author":[{"family":"McNeish","given":"Daniel"}],"issued":{"date-parts":[["2024",12]]}}}],"schema":"https://github.com/citation-style-language/schema/raw/master/csl-citation.json"} </w:instrText>
      </w:r>
      <w:r w:rsidR="00BC45F6">
        <w:fldChar w:fldCharType="separate"/>
      </w:r>
      <w:r w:rsidR="00BC45F6">
        <w:rPr>
          <w:noProof/>
        </w:rPr>
        <w:t>(McNeish, 2024)</w:t>
      </w:r>
      <w:r w:rsidR="00BC45F6">
        <w:fldChar w:fldCharType="end"/>
      </w:r>
      <w:r>
        <w:t>.</w:t>
      </w:r>
      <w:r w:rsidR="006A5BF8">
        <w:t xml:space="preserve"> </w:t>
      </w:r>
    </w:p>
    <w:p w14:paraId="11C04BE0" w14:textId="022D075D" w:rsidR="00D94E90" w:rsidRDefault="003674D0" w:rsidP="00BD26F1">
      <w:pPr>
        <w:pStyle w:val="Compact"/>
        <w:widowControl w:val="0"/>
        <w:spacing w:before="240" w:after="0" w:line="480" w:lineRule="auto"/>
        <w:ind w:firstLine="720"/>
      </w:pPr>
      <w:r>
        <w:t>A latent variable model, specifically within the framework of factor analysis and</w:t>
      </w:r>
      <w:r>
        <w:t xml:space="preserve"> </w:t>
      </w:r>
      <w:r>
        <w:t>broader structural equation modeling (SEM), is regarded as a rigorous alternative</w:t>
      </w:r>
      <w:r>
        <w:t xml:space="preserve"> </w:t>
      </w:r>
      <w:r>
        <w:t xml:space="preserve">to the </w:t>
      </w:r>
      <w:r>
        <w:lastRenderedPageBreak/>
        <w:t>sum-score</w:t>
      </w:r>
      <w:r w:rsidR="00F851C5">
        <w:t xml:space="preserve"> </w:t>
      </w:r>
      <w:r w:rsidR="00DD2C3F">
        <w:rPr>
          <w:lang w:eastAsia="ko-KR"/>
        </w:rPr>
        <w:t xml:space="preserve">model </w:t>
      </w:r>
      <w:r w:rsidR="00AD7317">
        <w:rPr>
          <w:lang w:eastAsia="ko-KR"/>
        </w:rPr>
        <w:t xml:space="preserve"> </w:t>
      </w:r>
      <w:r w:rsidR="00AD7317">
        <w:rPr>
          <w:lang w:eastAsia="ko-KR"/>
        </w:rPr>
        <w:fldChar w:fldCharType="begin"/>
      </w:r>
      <w:r w:rsidR="00AD7317">
        <w:rPr>
          <w:lang w:eastAsia="ko-KR"/>
        </w:rPr>
        <w:instrText xml:space="preserve"> ADDIN ZOTERO_ITEM CSL_CITATION {"citationID":"a10eRyDm","properties":{"unsorted":false,"formattedCitation":"(McNeish &amp; Wolf, 2020)","plainCitation":"(McNeish &amp; Wolf, 2020)","noteIndex":0},"citationItems":[{"id":99,"uris":["http://zotero.org/users/13944956/items/NRURFSXU"],"itemData":{"id":99,"type":"article-journal","container-title":"Behavior research methods","issue":"6","page":"2287–2305","publisher":"Springer","title":"Thinking twice about sum scores","volume":"52","author":[{"family":"McNeish","given":"Daniel"},{"family":"Wolf","given":"Melissa Gordon"}],"issued":{"date-parts":[["2020"]]}}}],"schema":"https://github.com/citation-style-language/schema/raw/master/csl-citation.json"} </w:instrText>
      </w:r>
      <w:r w:rsidR="00AD7317">
        <w:rPr>
          <w:lang w:eastAsia="ko-KR"/>
        </w:rPr>
        <w:fldChar w:fldCharType="separate"/>
      </w:r>
      <w:r w:rsidR="00AD7317">
        <w:rPr>
          <w:noProof/>
          <w:lang w:eastAsia="ko-KR"/>
        </w:rPr>
        <w:t>(McNeish &amp; Wolf, 2020)</w:t>
      </w:r>
      <w:r w:rsidR="00AD7317">
        <w:rPr>
          <w:lang w:eastAsia="ko-KR"/>
        </w:rPr>
        <w:fldChar w:fldCharType="end"/>
      </w:r>
      <w:r w:rsidR="00AD7317">
        <w:t>.</w:t>
      </w:r>
      <w:r>
        <w:t xml:space="preserve"> Its primary advantage lies in explicit modeling</w:t>
      </w:r>
      <w:r w:rsidR="00F851C5">
        <w:t xml:space="preserve"> of</w:t>
      </w:r>
      <w:r>
        <w:t xml:space="preserve"> measurement</w:t>
      </w:r>
      <w:r>
        <w:t xml:space="preserve"> </w:t>
      </w:r>
      <w:r w:rsidR="00F851C5">
        <w:t>errors</w:t>
      </w:r>
      <w:r>
        <w:t xml:space="preserve">, which </w:t>
      </w:r>
      <w:r w:rsidR="00153AA9">
        <w:rPr>
          <w:lang w:eastAsia="ko-KR"/>
        </w:rPr>
        <w:t xml:space="preserve">in turn enables </w:t>
      </w:r>
      <w:r w:rsidR="00153AA9">
        <w:t>procedures such as</w:t>
      </w:r>
      <w:r>
        <w:t xml:space="preserve"> invariance testing</w:t>
      </w:r>
      <w:r>
        <w:t xml:space="preserve"> </w:t>
      </w:r>
      <w:r w:rsidR="00222B7F">
        <w:t xml:space="preserve">and specification of </w:t>
      </w:r>
      <w:r w:rsidR="00AD7317">
        <w:t>residual covariance</w:t>
      </w:r>
      <w:r w:rsidR="00153AA9">
        <w:t>s</w:t>
      </w:r>
      <w:r w:rsidR="00531BBD">
        <w:t xml:space="preserve"> </w:t>
      </w:r>
      <w:r w:rsidR="00531BBD">
        <w:fldChar w:fldCharType="begin"/>
      </w:r>
      <w:r w:rsidR="00531BBD">
        <w:instrText xml:space="preserve"> ADDIN ZOTERO_ITEM CSL_CITATION {"citationID":"Wm7xGexl","properties":{"unsorted":false,"formattedCitation":"(McNeish, 2022)","plainCitation":"(McNeish, 2022)","noteIndex":0},"citationItems":[{"id":49,"uris":["http://zotero.org/users/13944956/items/8MGV6YTH"],"itemData":{"id":49,"type":"article-journal","abstract":"Commentary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Res","language":"en","page":"4269-4290","source":"DOI.org (Crossref)","title":"Psychometric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0.98","volume":"55","author":[{"family":"McNeish","given":"Daniel"}],"issued":{"date-parts":[["2022",11,17]]}}}],"schema":"https://github.com/citation-style-language/schema/raw/master/csl-citation.json"} </w:instrText>
      </w:r>
      <w:r w:rsidR="00531BBD">
        <w:fldChar w:fldCharType="separate"/>
      </w:r>
      <w:r w:rsidR="00531BBD">
        <w:rPr>
          <w:noProof/>
        </w:rPr>
        <w:t>(McNeish, 2022)</w:t>
      </w:r>
      <w:r w:rsidR="00531BBD">
        <w:fldChar w:fldCharType="end"/>
      </w:r>
      <w:r>
        <w:t>.</w:t>
      </w:r>
      <w:r w:rsidR="00F851C5">
        <w:t xml:space="preserve"> </w:t>
      </w:r>
      <w:r w:rsidR="00D94E90">
        <w:t>N</w:t>
      </w:r>
      <w:r w:rsidR="00D94E90">
        <w:t xml:space="preserve">evertheless, latent variable model </w:t>
      </w:r>
      <w:r w:rsidR="00D94E90">
        <w:t xml:space="preserve">is </w:t>
      </w:r>
      <w:r w:rsidR="00D94E90">
        <w:t>more complex and estimat</w:t>
      </w:r>
      <w:r w:rsidR="00DD2C3F">
        <w:t>es</w:t>
      </w:r>
      <w:r w:rsidR="00D94E90">
        <w:t xml:space="preserve"> more parameters than </w:t>
      </w:r>
      <w:r w:rsidR="00D94E90">
        <w:t xml:space="preserve">sum </w:t>
      </w:r>
      <w:r w:rsidR="00D94E90">
        <w:t>score</w:t>
      </w:r>
      <w:r w:rsidR="00D94E90">
        <w:t xml:space="preserve"> </w:t>
      </w:r>
      <w:r w:rsidR="00153AA9">
        <w:t xml:space="preserve">model and therefore </w:t>
      </w:r>
      <w:r w:rsidR="00DD2C3F">
        <w:t>requires</w:t>
      </w:r>
      <w:r w:rsidR="004803CB">
        <w:t xml:space="preserve"> </w:t>
      </w:r>
      <w:r w:rsidR="00DD2C3F">
        <w:t>larger</w:t>
      </w:r>
      <w:r w:rsidR="004803CB">
        <w:t xml:space="preserve"> sample sizes</w:t>
      </w:r>
      <w:bookmarkStart w:id="1" w:name="_Hlk232946398"/>
      <w:r w:rsidR="00D94E90">
        <w:t xml:space="preserve">. </w:t>
      </w:r>
      <w:bookmarkEnd w:id="1"/>
      <w:r w:rsidR="00F851C5">
        <w:t>In a</w:t>
      </w:r>
      <w:r w:rsidR="00D94E90">
        <w:t xml:space="preserve">ddition, </w:t>
      </w:r>
      <w:r w:rsidR="00D94E90">
        <w:t>latent variable modeling</w:t>
      </w:r>
      <w:r w:rsidR="00D94E90">
        <w:t xml:space="preserve"> require</w:t>
      </w:r>
      <w:r w:rsidR="00D94E90">
        <w:t>s</w:t>
      </w:r>
      <w:r w:rsidR="00D94E90">
        <w:t xml:space="preserve"> arbitrary</w:t>
      </w:r>
      <w:r w:rsidR="00D94E90">
        <w:t xml:space="preserve"> </w:t>
      </w:r>
      <w:r w:rsidR="00D94E90">
        <w:t>identification constraints to establish the</w:t>
      </w:r>
      <w:r w:rsidR="00D94E90">
        <w:t xml:space="preserve"> metric of</w:t>
      </w:r>
      <w:r w:rsidR="00D94E90">
        <w:t xml:space="preserve"> latent </w:t>
      </w:r>
      <w:r w:rsidR="00D94E90">
        <w:t>variable</w:t>
      </w:r>
      <w:r w:rsidR="00D94E90">
        <w:t xml:space="preserve">, which </w:t>
      </w:r>
      <w:r w:rsidR="004803CB">
        <w:t xml:space="preserve">further complicates </w:t>
      </w:r>
      <w:r w:rsidR="00D94E90">
        <w:t>communicat</w:t>
      </w:r>
      <w:r w:rsidR="004803CB">
        <w:t>ion among</w:t>
      </w:r>
      <w:r w:rsidR="00D94E90">
        <w:t xml:space="preserve"> applied audiences</w:t>
      </w:r>
      <w:r w:rsidR="00AD7317">
        <w:t xml:space="preserve"> </w:t>
      </w:r>
      <w:r w:rsidR="00AD7317">
        <w:t>(</w:t>
      </w:r>
      <w:proofErr w:type="spellStart"/>
      <w:r w:rsidR="00AD7317" w:rsidRPr="004803CB">
        <w:t>Sijtsma</w:t>
      </w:r>
      <w:proofErr w:type="spellEnd"/>
      <w:r w:rsidR="00AD7317" w:rsidRPr="004803CB">
        <w:t xml:space="preserve"> et al., 2024</w:t>
      </w:r>
      <w:r w:rsidR="00AD7317">
        <w:t>b)</w:t>
      </w:r>
      <w:r w:rsidR="00D94E90">
        <w:t>.</w:t>
      </w:r>
    </w:p>
    <w:p w14:paraId="69287686" w14:textId="223FDE6C" w:rsidR="00DD2C3F" w:rsidRDefault="0040743F" w:rsidP="00BD26F1">
      <w:pPr>
        <w:pStyle w:val="Compact"/>
        <w:widowControl w:val="0"/>
        <w:spacing w:before="240" w:after="0" w:line="480" w:lineRule="auto"/>
        <w:ind w:firstLine="720"/>
      </w:pPr>
      <w:r w:rsidRPr="0040743F">
        <w:t>The choice between sum scores and latent variables has long been a concern, and active debates have continued regarding the conditions under which each is acceptable and when the two approaches yield convergent or divergent conclusions</w:t>
      </w:r>
      <w:r>
        <w:t xml:space="preserve"> </w:t>
      </w:r>
      <w:r w:rsidR="00CD407A">
        <w:fldChar w:fldCharType="begin"/>
      </w:r>
      <w:r w:rsidR="00AE2AAC">
        <w:instrText xml:space="preserve"> ADDIN ZOTERO_ITEM CSL_CITATION {"citationID":"2z5eT75j","properties":{"unsorted":false,"formattedCitation":"(Edelsbrunner, 2022; McNeish, 2023, 2024; Mislevy, 2024; Sijtsma et al., 2024b; Widaman &amp; Revelle, 2022)","plainCitation":"(Edelsbrunner, 2022; McNeish, 2023, 2024; Mislevy, 2024; Sijtsma et al., 2024b; Widaman &amp; Revelle, 2022)","noteIndex":0},"citationItems":[{"id":40,"uris":["http://zotero.org/users/13944956/items/NXZHMK5X"],"itemData":{"id":40,"type":"article-journal","container-title":"Frontiers in Psychology","DOI":"10.3389/fpsyg.2022.986767","ISSN":"1664-1078","journalAbbreviation":"Front. Psychol.","language":"en","page":"986767","source":"DOI.org (Crossref)","title":"A model and its fit lie in the eye of the beholder: Long live the sum score","title-short":"A model and its fit lie in the eye of the beholder","volume":"13","author":[{"family":"Edelsbrunner","given":"Peter Adriaan"}],"issued":{"date-parts":[["2022",10,13]]}}},{"id":77,"uris":["http://zotero.org/users/13944956/items/E93G4E5I"],"itemData":{"id":77,"type":"article-journal","container-title":"Behavior Research Methods","issue":"8","page":"4269–4290","publisher":"Springer","title":"Psychometric properties of sum scores and factor scores differ even when their correlation is 0.98: A response to Widaman and Revelle","volume":"55","author":[{"family":"McNeish","given":"Daniel"}],"issued":{"date-parts":[["2023"]]}}},{"id":6,"uris":["http://zotero.org/users/13944956/items/PDEV8IZN"],"itemData":{"id":6,"type":"article-journal","abstract":"This paper reﬂects on some practical implications of the excellent treatment of sum scoring and classical test theory (CTT) by Sijtsma et al. (Psychometrika 89(1):84–117, 2024). I have no major disagreements about the content they present and found it to be an informative clariﬁcation of the properties and possible extensions of CTT. In this paper, I focus on whether sum scores—despite their mathematical justiﬁcation—are positioned to improve psychometric practice in empirical studies in psychology, education, and adjacent areas. First, I summarize recent reviews of psychometric practice in empirical studies, subsequent calls for greater psychometric transparency and validity, and how sum scores may or may not be positioned to adhere to such calls. Second, I consider limitations of sum scores for prediction, especially in the presence of common features like ordinal or Likert response scales, multidimensional constructs, and moderated or heterogeneous associations. Third, I review previous research outlining potential limitations of using sum scores as outcomes in subsequent analyses where rank ordering is not always sufﬁcient to successfully characterize group differences or change over time. Fourth, I cover potential challenges for providing validity evidence for whether sum scores represent a single construct, particularly if one wishes to maintain minimal CTT assumptions. I conclude with thoughts about whether sum scores—even if mathematically justiﬁed—are positioned to improve psychometric practice in empirical studies.","container-title":"Psychometrika","DOI":"10.1007/s11336-024-09988-z","ISSN":"0033-3123, 1860-0980","issue":"4","journalAbbreviation":"Psychometrika","language":"en","license":"https://www.cambridge.org/core/terms","page":"1148-1169","source":"DOI.org (Crossref)","title":"Practical Implications of Sum Scores Being Psychometrics’ Greatest Accomplishment","volume":"89","author":[{"family":"McNeish","given":"Daniel"}],"issued":{"date-parts":[["2024",12]]}}},{"id":65,"uris":["http://zotero.org/users/13944956/items/J82DT7YG"],"itemData":{"id":65,"type":"article-journal","container-title":"psychometrika","issue":"4","page":"1170–1174","publisher":"Springer","title":"Are sum scores a great accomplishment of psychometrics or intuitive test theory?","volume":"89","author":[{"family":"Mislevy","given":"Robert J"}],"issued":{"date-parts":[["2024"]]}}},{"id":53,"uris":["http://zotero.org/users/13944956/items/4DUB3DEP"],"itemData":{"id":53,"type":"article-journal","abstract":"In this rejoinder to McNeish (2024) and Mislevy (2024), who both responded to our focus article on the merits of the simple sum score (Sijtsma et al., 2024), we address several issues. Psychometrics education and in particular psychometricians’ outreach may help researchers to use IRT models as a precursor for the responsible use of the latent variable score and the sum score. Different methods used for test and questionnaire construction often do not produce highly different results, and when they do, this may be due to an unarticulated attribute theory generating noisy data. The sum score and transformations thereof, such as normalized test scores and percentiles, may help test practitioners and their clients to better communicate results. Latent variables prove important in more advanced applications such as equating and adaptive testing where they serve as technical tools rather than communication devices. Decisions based on test results are often binary or use a rather coarse ordering of scale levels, hence, do not require a high level of granularity (but nevertheless need to be precise). A gap exists between psychology and psychometrics which is growing deeper and wider, and that needs to be bridged. Psychology and psychometrics must work together to attain this goal.","container-title":"Psychometrika","DOI":"10.1007/s11336-024-10004-7","ISSN":"0033-3123, 1860-0980","issue":"4","journalAbbreviation":"Psychometrika","language":"en","license":"http://creativecommons.org/licenses/by/4.0/","page":"1175-1185","source":"DOI.org (Crossref)","title":"Rejoinder to McNeish and Mislevy: What Does Psychological Measurement Require?","title-short":"Rejoinder to McNeish and Mislevy","volume":"89","author":[{"family":"Sijtsma","given":"Klaas"},{"family":"Ellis","given":"Jules L."},{"family":"Borsboom","given":"Denny"}],"issued":{"date-parts":[["2024",12]]}}},{"id":103,"uris":["http://zotero.org/users/13944956/items/5822X5BI"],"itemData":{"id":103,"type":"article-journal","abstract":"Measurement is fundamental to all research in psychology and should be accorded greater scrutiny than typically occurs. Among other claims, McNeish and Wolf (Thinking twice about sum scores. Behavior Research Methods, 52, 2287-2305) argued that use of sum scores (a) implies that a highly constrained latent variable model underlies items comprising a scale, and (b) may misrepresent or bias relations with other criteria. The central claim by McNeish and Wolf that use of sum scores requires the assumption that a parallel test model underlies item responses is incorrect and without psychometric merit. Instead, if a set of items is unidimensional, estimators of reliability are available even if the factor model underlying the set of items does not have a highly constrained form. Thus, dimensionality of a set of items is the key issue, and whether strict constraints on parameter estimates do or do not hold dictate the appropriate way to estimate reliability. McNeish and Wolf also claimed that more precise forms of scoring, such as estimating factor scores, would be preferable to sum scores. We provide analytic bases for reliability estimation and then provide several demonstrations of reliability estimation and the relative advantages of sum scores and factor scores. We contend that several claims by McNeish and Wolf are questionable and that, as a result, multiple recommendations they made and conclusions they drew are incorrect. The upshot is that, once the dimensional structure of a set of items is verified, sum scores often have a solid psychometric basis and therefore are frequently quite adequate for psychological research.","container-title":"Behavior Research Methods","DOI":"10.3758/s13428-022-01849-w","ISSN":"1554-3528","issue":"2","journalAbbreviation":"Behav Res","language":"en","page":"788-806","source":"DOI.org (Crossref)","title":"Thinking thrice about sum scores, and then some more about measurement and analysis","volume":"55","author":[{"family":"Widaman","given":"Keith F."},{"family":"Revelle","given":"William"}],"issued":{"date-parts":[["2022",4,25]]}}}],"schema":"https://github.com/citation-style-language/schema/raw/master/csl-citation.json"} </w:instrText>
      </w:r>
      <w:r w:rsidR="00CD407A">
        <w:fldChar w:fldCharType="separate"/>
      </w:r>
      <w:r w:rsidR="00AE2AAC">
        <w:rPr>
          <w:noProof/>
        </w:rPr>
        <w:t>(Edelsbrunner, 2022; McNeish, 2023, 2024; Mislevy, 2024; Sijtsma et al., 2024b; Widaman &amp; Revelle, 2022)</w:t>
      </w:r>
      <w:r w:rsidR="00CD407A">
        <w:fldChar w:fldCharType="end"/>
      </w:r>
      <w:r w:rsidR="00C359C9">
        <w:t>.</w:t>
      </w:r>
      <w:r w:rsidR="00C359C9" w:rsidRPr="00C359C9">
        <w:t xml:space="preserve"> </w:t>
      </w:r>
      <w:r w:rsidR="00DA2837" w:rsidRPr="00DA2837">
        <w:t>These debates, however, have focused heavily on cross-sectional designs. When the goal shifts from measuring a construct at a single occasion to measuring it across multiple time points in longitudinal data, the relationship between the two approaches has not yet been thoroughly explored.</w:t>
      </w:r>
    </w:p>
    <w:p w14:paraId="3B2ED844" w14:textId="5D3C31F9" w:rsidR="006E4EBD" w:rsidRDefault="006E4EBD" w:rsidP="00BD26F1">
      <w:pPr>
        <w:pStyle w:val="Compact"/>
        <w:widowControl w:val="0"/>
        <w:spacing w:before="240" w:after="0" w:line="480" w:lineRule="auto"/>
        <w:ind w:firstLine="720"/>
      </w:pPr>
      <w:r>
        <w:t>Specifically, l</w:t>
      </w:r>
      <w:r w:rsidR="00577470">
        <w:t>atent growth curve modeling (LGCM) is one of the most widely used models for</w:t>
      </w:r>
      <w:r w:rsidR="00577470">
        <w:t xml:space="preserve"> </w:t>
      </w:r>
      <w:r w:rsidR="00577470">
        <w:t>analyzing longitudinal data to capture the growth trajectories</w:t>
      </w:r>
      <w:r w:rsidR="004A369A">
        <w:t xml:space="preserve"> </w:t>
      </w:r>
      <w:r w:rsidR="00DA2837">
        <w:fldChar w:fldCharType="begin"/>
      </w:r>
      <w:r w:rsidR="00DA2837">
        <w:instrText xml:space="preserve"> ADDIN ZOTERO_ITEM CSL_CITATION {"citationID":"KVB9JcRq","properties":{"unsorted":false,"formattedCitation":"(Bishop et al., 2015; Meredith &amp; Tisak, 1990)","plainCitation":"(Bishop et al., 2015; Meredith &amp; Tisak, 1990)","noteIndex":0},"citationItems":[{"id":139,"uris":["http://zotero.org/users/13944956/items/ZLYRGS2R"],"itemData":{"id":139,"type":"article-journal","container-title":"Psychological methods","issue":"1","page":"43","publisher":"American Psychological Association","title":"Modeling latent growth with multiple indicators: a comparison of three approaches.","volume":"20","author":[{"family":"Bishop","given":"Jacob"},{"family":"Geiser","given":"Christian"},{"family":"Cole","given":"David A"}],"issued":{"date-parts":[["2015"]]}}},{"id":140,"uris":["http://zotero.org/users/13944956/items/UCZBS3GX"],"itemData":{"id":140,"type":"article-journal","container-title":"Psychometrika","issue":"1","page":"107–122","publisher":"Springer-Verlag","title":"Latent curve analysis","volume":"55","author":[{"family":"Meredith","given":"William"},{"family":"Tisak","given":"John"}],"issued":{"date-parts":[["1990"]]}}}],"schema":"https://github.com/citation-style-language/schema/raw/master/csl-citation.json"} </w:instrText>
      </w:r>
      <w:r w:rsidR="00DA2837">
        <w:fldChar w:fldCharType="separate"/>
      </w:r>
      <w:r w:rsidR="00DA2837">
        <w:rPr>
          <w:noProof/>
        </w:rPr>
        <w:t>(Bishop et al., 2015; Meredith &amp; Tisak, 1990)</w:t>
      </w:r>
      <w:r w:rsidR="00DA2837">
        <w:fldChar w:fldCharType="end"/>
      </w:r>
      <w:r w:rsidR="00577470">
        <w:t>. To this end, the second-order LGCM (2-LGCM;</w:t>
      </w:r>
      <w:r w:rsidR="00DA2837">
        <w:t xml:space="preserve"> </w:t>
      </w:r>
      <w:r w:rsidR="00DA2837">
        <w:fldChar w:fldCharType="begin"/>
      </w:r>
      <w:r w:rsidR="00DA2837">
        <w:instrText xml:space="preserve"> ADDIN ZOTERO_ITEM CSL_CITATION {"citationID":"2dcFm1CS","properties":{"unsorted":false,"formattedCitation":"(Geiser et al., 2013)","plainCitation":"(Geiser et al., 2013)","noteIndex":0},"citationItems":[{"id":100,"uris":["http://zotero.org/users/13944956/items/J6ANFTPQ"],"itemData":{"id":100,"type":"article-journal","container-title":"Structural equation modeling: a multidisciplinary journal","issue":"3","page":"479–503","publisher":"Taylor &amp; Francis","title":"First-versus second-order latent growth curve models: Some insights from latent state-trait theory","volume":"20","author":[{"family":"Geiser","given":"Christian"},{"family":"Keller","given":"Brian T"},{"family":"Lockhart","given":"Ginger"}],"issued":{"date-parts":[["2013"]]}}}],"schema":"https://github.com/citation-style-language/schema/raw/master/csl-citation.json"} </w:instrText>
      </w:r>
      <w:r w:rsidR="00DA2837">
        <w:fldChar w:fldCharType="separate"/>
      </w:r>
      <w:r w:rsidR="00DA2837">
        <w:rPr>
          <w:noProof/>
        </w:rPr>
        <w:t>Geiser et al., 2013</w:t>
      </w:r>
      <w:r w:rsidR="00DA2837">
        <w:fldChar w:fldCharType="end"/>
      </w:r>
      <w:r w:rsidR="00DA2837">
        <w:t>)</w:t>
      </w:r>
      <w:r w:rsidR="00577470">
        <w:t>, also called as curve-of-factors model</w:t>
      </w:r>
      <w:r w:rsidR="00DA2837">
        <w:t xml:space="preserve"> </w:t>
      </w:r>
      <w:r w:rsidR="00DA2837">
        <w:fldChar w:fldCharType="begin"/>
      </w:r>
      <w:r w:rsidR="00DA2837">
        <w:instrText xml:space="preserve"> ADDIN ZOTERO_ITEM CSL_CITATION {"citationID":"33XBWQ4g","properties":{"unsorted":false,"formattedCitation":"(McArdle, 1988)","plainCitation":"(McArdle, 1988)","noteIndex":0},"citationItems":[{"id":142,"uris":["http://zotero.org/users/13944956/items/TVSJD893"],"itemData":{"id":142,"type":"chapter","container-title":"Handbook of multivariate experimental psychology","page":"561–614","publisher":"Springer","title":"Dynamic but structural equation modeling of repeated measures data","author":[{"family":"McArdle","given":"John J"}],"issued":{"date-parts":[["1988"]]}}}],"schema":"https://github.com/citation-style-language/schema/raw/master/csl-citation.json"} </w:instrText>
      </w:r>
      <w:r w:rsidR="00DA2837">
        <w:fldChar w:fldCharType="separate"/>
      </w:r>
      <w:r w:rsidR="00DA2837">
        <w:rPr>
          <w:noProof/>
        </w:rPr>
        <w:t>(McArdle, 1988)</w:t>
      </w:r>
      <w:r w:rsidR="00DA2837">
        <w:fldChar w:fldCharType="end"/>
      </w:r>
      <w:r w:rsidR="00577470">
        <w:t xml:space="preserve">, </w:t>
      </w:r>
      <w:r>
        <w:t xml:space="preserve">analyzes the </w:t>
      </w:r>
      <w:r w:rsidR="00577470">
        <w:t>growth of latent</w:t>
      </w:r>
      <w:r w:rsidR="00577470">
        <w:t xml:space="preserve"> </w:t>
      </w:r>
      <w:r w:rsidR="00577470">
        <w:t xml:space="preserve">factors while explicitly accounting for </w:t>
      </w:r>
      <w:r>
        <w:t xml:space="preserve">the </w:t>
      </w:r>
      <w:r w:rsidR="00577470">
        <w:t>measurement error</w:t>
      </w:r>
      <w:r>
        <w:t>s</w:t>
      </w:r>
      <w:r w:rsidR="00577470">
        <w:t xml:space="preserve">. Despite </w:t>
      </w:r>
      <w:r>
        <w:t xml:space="preserve">the advantages of incorporating residuals, </w:t>
      </w:r>
      <w:r w:rsidR="00577470">
        <w:t xml:space="preserve">applied studies have fitted first-order LGCMs (1-LGCM) </w:t>
      </w:r>
      <w:r w:rsidR="00BA7E5D">
        <w:t xml:space="preserve">more often </w:t>
      </w:r>
      <w:r w:rsidR="00577470">
        <w:t>using sum or mean</w:t>
      </w:r>
      <w:r w:rsidR="00577470">
        <w:t xml:space="preserve"> </w:t>
      </w:r>
      <w:r w:rsidR="00577470">
        <w:t xml:space="preserve">scores </w:t>
      </w:r>
      <w:r w:rsidR="00DA2837">
        <w:fldChar w:fldCharType="begin"/>
      </w:r>
      <w:r w:rsidR="00DA2837">
        <w:instrText xml:space="preserve"> ADDIN ZOTERO_ITEM CSL_CITATION {"citationID":"YcGhKyIS","properties":{"unsorted":false,"formattedCitation":"(Isiordia &amp; Ferrer, 2018)","plainCitation":"(Isiordia &amp; Ferrer, 2018)","noteIndex":0},"citationItems":[{"id":143,"uris":["http://zotero.org/users/13944956/items/QXHJL8MS"],"itemData":{"id":143,"type":"article-journal","container-title":"Educational and Psychological Measurement","issue":"2","page":"203–231","publisher":"Sage Publications Sage CA: Los Angeles, CA","title":"Curve of factors model: A latent growth modeling approach for educational research","volume":"78","author":[{"family":"Isiordia","given":"Marilu"},{"family":"Ferrer","given":"Emilio"}],"issued":{"date-parts":[["2018"]]}}}],"schema":"https://github.com/citation-style-language/schema/raw/master/csl-citation.json"} </w:instrText>
      </w:r>
      <w:r w:rsidR="00DA2837">
        <w:fldChar w:fldCharType="separate"/>
      </w:r>
      <w:r w:rsidR="00DA2837">
        <w:rPr>
          <w:noProof/>
        </w:rPr>
        <w:t>(Isiordia &amp; Ferrer, 2018)</w:t>
      </w:r>
      <w:r w:rsidR="00DA2837">
        <w:fldChar w:fldCharType="end"/>
      </w:r>
      <w:r w:rsidR="00577470">
        <w:t>.</w:t>
      </w:r>
    </w:p>
    <w:p w14:paraId="00DAB151" w14:textId="62133851" w:rsidR="00952E9B" w:rsidRDefault="008F15F4" w:rsidP="00BD26F1">
      <w:pPr>
        <w:pStyle w:val="Compact"/>
        <w:widowControl w:val="0"/>
        <w:spacing w:before="240" w:after="0" w:line="480" w:lineRule="auto"/>
        <w:ind w:firstLine="720"/>
        <w:rPr>
          <w:lang w:eastAsia="ko-KR"/>
        </w:rPr>
      </w:pPr>
      <w:r>
        <w:rPr>
          <w:lang w:eastAsia="ko-KR"/>
        </w:rPr>
        <w:lastRenderedPageBreak/>
        <w:t xml:space="preserve">Geiser and others (2013) </w:t>
      </w:r>
      <w:r>
        <w:rPr>
          <w:lang w:eastAsia="ko-KR"/>
        </w:rPr>
        <w:t xml:space="preserve">~~~.  </w:t>
      </w:r>
      <w:r w:rsidR="00CD4E91">
        <w:rPr>
          <w:lang w:eastAsia="ko-KR"/>
        </w:rPr>
        <w:fldChar w:fldCharType="begin"/>
      </w:r>
      <w:r w:rsidR="00CD4E91">
        <w:rPr>
          <w:lang w:eastAsia="ko-KR"/>
        </w:rPr>
        <w:instrText xml:space="preserve"> ADDIN ZOTERO_ITEM CSL_CITATION {"citationID":"zrChOSmc","properties":{"unsorted":false,"formattedCitation":"(Leite, 2007)","plainCitation":"(Leite, 2007)","noteIndex":0},"citationItems":[{"id":146,"uris":["http://zotero.org/users/13944956/items/RAX3ESE8"],"itemData":{"id":146,"type":"article-journal","container-title":"Structural Equation Modeling: A Multidisciplinary Journal","issue":"4","page":"581–610","publisher":"Taylor &amp; Francis","title":"A comparison of latent growth models for constructs measured by multiple items","volume":"14","author":[{"family":"Leite","given":"Walter L"}],"issued":{"date-parts":[["2007"]]}}}],"schema":"https://github.com/citation-style-language/schema/raw/master/csl-citation.json"} </w:instrText>
      </w:r>
      <w:r w:rsidR="00CD4E91">
        <w:rPr>
          <w:lang w:eastAsia="ko-KR"/>
        </w:rPr>
        <w:fldChar w:fldCharType="separate"/>
      </w:r>
      <w:r w:rsidR="00CD4E91">
        <w:rPr>
          <w:noProof/>
          <w:lang w:eastAsia="ko-KR"/>
        </w:rPr>
        <w:t>Leite (2007</w:t>
      </w:r>
      <w:r w:rsidR="00CD4E91">
        <w:rPr>
          <w:lang w:eastAsia="ko-KR"/>
        </w:rPr>
        <w:fldChar w:fldCharType="end"/>
      </w:r>
      <w:r w:rsidR="00CD4E91">
        <w:rPr>
          <w:lang w:eastAsia="ko-KR"/>
        </w:rPr>
        <w:t xml:space="preserve">) </w:t>
      </w:r>
      <w:r w:rsidR="00927E72">
        <w:rPr>
          <w:lang w:eastAsia="ko-KR"/>
        </w:rPr>
        <w:t>directly compared these two</w:t>
      </w:r>
      <w:r w:rsidR="000D2E7C">
        <w:rPr>
          <w:rFonts w:hint="eastAsia"/>
          <w:lang w:eastAsia="ko-KR"/>
        </w:rPr>
        <w:t xml:space="preserve"> </w:t>
      </w:r>
      <w:proofErr w:type="gramStart"/>
      <w:r w:rsidR="000D2E7C">
        <w:rPr>
          <w:lang w:eastAsia="ko-KR"/>
        </w:rPr>
        <w:t>models</w:t>
      </w:r>
      <w:proofErr w:type="gramEnd"/>
      <w:r w:rsidR="00123108">
        <w:rPr>
          <w:lang w:eastAsia="ko-KR"/>
        </w:rPr>
        <w:t xml:space="preserve"> </w:t>
      </w:r>
      <w:r w:rsidR="00CA43C4">
        <w:rPr>
          <w:lang w:eastAsia="ko-KR"/>
        </w:rPr>
        <w:t xml:space="preserve">parameter estimates and found scale mismatch of them </w:t>
      </w:r>
      <w:proofErr w:type="gramStart"/>
      <w:r w:rsidR="00CA43C4">
        <w:rPr>
          <w:lang w:eastAsia="ko-KR"/>
        </w:rPr>
        <w:t xml:space="preserve">as </w:t>
      </w:r>
      <w:r w:rsidR="00E1657F">
        <w:rPr>
          <w:lang w:eastAsia="ko-KR"/>
        </w:rPr>
        <w:t>.</w:t>
      </w:r>
      <w:proofErr w:type="gramEnd"/>
      <w:r>
        <w:rPr>
          <w:lang w:eastAsia="ko-KR"/>
        </w:rPr>
        <w:t xml:space="preserve"> However, t</w:t>
      </w:r>
      <w:r w:rsidR="00952E9B">
        <w:rPr>
          <w:lang w:eastAsia="ko-KR"/>
        </w:rPr>
        <w:t>here</w:t>
      </w:r>
      <w:r w:rsidR="00927E72">
        <w:rPr>
          <w:lang w:eastAsia="ko-KR"/>
        </w:rPr>
        <w:t xml:space="preserve"> are</w:t>
      </w:r>
      <w:r w:rsidR="00FF7DD7">
        <w:rPr>
          <w:lang w:eastAsia="ko-KR"/>
        </w:rPr>
        <w:t xml:space="preserve"> still</w:t>
      </w:r>
      <w:r w:rsidR="00927E72">
        <w:rPr>
          <w:lang w:eastAsia="ko-KR"/>
        </w:rPr>
        <w:t xml:space="preserve"> two critical questions remain. First, </w:t>
      </w:r>
      <w:r w:rsidR="008B224A">
        <w:rPr>
          <w:lang w:eastAsia="ko-KR"/>
        </w:rPr>
        <w:t xml:space="preserve">their </w:t>
      </w:r>
      <w:r w:rsidR="00927E72">
        <w:rPr>
          <w:lang w:eastAsia="ko-KR"/>
        </w:rPr>
        <w:t xml:space="preserve">comparison </w:t>
      </w:r>
      <w:r w:rsidR="00052CB1">
        <w:rPr>
          <w:lang w:eastAsia="ko-KR"/>
        </w:rPr>
        <w:t>did not place the two models on a single metric, so any discrepancy between them is not solely contributable to the model’s properties, but with confounding effects by the magnitude of scale itself.</w:t>
      </w:r>
      <w:r w:rsidR="00FF7DD7">
        <w:rPr>
          <w:lang w:eastAsia="ko-KR"/>
        </w:rPr>
        <w:t xml:space="preserve"> Since an identification constraint is asked for the scale of latent variable, the corresponding growth-related parameters (e.g., covariance of growth intercept and slope) will have different scales compared to </w:t>
      </w:r>
      <w:r w:rsidR="00952E9B">
        <w:rPr>
          <w:lang w:eastAsia="ko-KR"/>
        </w:rPr>
        <w:t xml:space="preserve">them from </w:t>
      </w:r>
      <w:r w:rsidR="00FF7DD7">
        <w:rPr>
          <w:lang w:eastAsia="ko-KR"/>
        </w:rPr>
        <w:t>the model with observed sum scores by aggregation</w:t>
      </w:r>
      <w:r w:rsidR="00952E9B">
        <w:rPr>
          <w:lang w:eastAsia="ko-KR"/>
        </w:rPr>
        <w:t>, which made it difficult to compare estimates from both models directly.</w:t>
      </w:r>
    </w:p>
    <w:p w14:paraId="17C77CDA" w14:textId="79D04153" w:rsidR="00C359C9" w:rsidRDefault="00952E9B" w:rsidP="00BD26F1">
      <w:pPr>
        <w:pStyle w:val="Compact"/>
        <w:widowControl w:val="0"/>
        <w:spacing w:before="240" w:after="0" w:line="480" w:lineRule="auto"/>
        <w:ind w:firstLine="720"/>
        <w:rPr>
          <w:lang w:eastAsia="ko-KR"/>
        </w:rPr>
      </w:pPr>
      <w:r>
        <w:rPr>
          <w:lang w:eastAsia="ko-KR"/>
        </w:rPr>
        <w:t xml:space="preserve">Additionally, </w:t>
      </w:r>
      <w:r w:rsidR="00052CB1">
        <w:rPr>
          <w:lang w:eastAsia="ko-KR"/>
        </w:rPr>
        <w:t xml:space="preserve">the influence of residual covariance across waves was not considered, even though such covariance occurs commonly in real settings. </w:t>
      </w:r>
      <w:r w:rsidR="00E37CEB">
        <w:rPr>
          <w:lang w:eastAsia="ko-KR"/>
        </w:rPr>
        <w:t xml:space="preserve">More specifically, </w:t>
      </w:r>
      <w:r w:rsidR="00E37CEB">
        <w:rPr>
          <w:lang w:eastAsia="ko-KR"/>
        </w:rPr>
        <w:t>when the same indicators are observed</w:t>
      </w:r>
      <w:r w:rsidR="00E37CEB">
        <w:rPr>
          <w:lang w:eastAsia="ko-KR"/>
        </w:rPr>
        <w:t xml:space="preserve"> </w:t>
      </w:r>
      <w:r w:rsidR="00E37CEB">
        <w:rPr>
          <w:lang w:eastAsia="ko-KR"/>
        </w:rPr>
        <w:t>repeatedly across multiple occasions, its residual at one wave tends to correlate with its</w:t>
      </w:r>
      <w:r w:rsidR="00E37CEB">
        <w:rPr>
          <w:lang w:eastAsia="ko-KR"/>
        </w:rPr>
        <w:t xml:space="preserve"> </w:t>
      </w:r>
      <w:r w:rsidR="00E37CEB">
        <w:rPr>
          <w:lang w:eastAsia="ko-KR"/>
        </w:rPr>
        <w:t xml:space="preserve">residual at adjacent time points, </w:t>
      </w:r>
      <w:r w:rsidR="00D23162">
        <w:rPr>
          <w:lang w:eastAsia="ko-KR"/>
        </w:rPr>
        <w:t>referred</w:t>
      </w:r>
      <w:r w:rsidR="00E37CEB">
        <w:rPr>
          <w:lang w:eastAsia="ko-KR"/>
        </w:rPr>
        <w:t xml:space="preserve"> as correlated uniqueness</w:t>
      </w:r>
      <w:r w:rsidR="00D23162">
        <w:rPr>
          <w:lang w:eastAsia="ko-KR"/>
        </w:rPr>
        <w:t xml:space="preserve"> (CU)</w:t>
      </w:r>
      <w:r w:rsidR="008B224A">
        <w:rPr>
          <w:lang w:eastAsia="ko-KR"/>
        </w:rPr>
        <w:t xml:space="preserve"> throughout this paper</w:t>
      </w:r>
      <w:r w:rsidR="0037280C" w:rsidRPr="0037280C">
        <w:rPr>
          <w:lang w:eastAsia="ko-KR"/>
        </w:rPr>
        <w:t>.</w:t>
      </w:r>
      <w:r w:rsidR="00E37CEB">
        <w:rPr>
          <w:lang w:eastAsia="ko-KR"/>
        </w:rPr>
        <w:t xml:space="preserve"> </w:t>
      </w:r>
      <w:r w:rsidR="00C359C9">
        <w:t>The existing literature has not addressed these two threats within a unified comparison in</w:t>
      </w:r>
      <w:r w:rsidR="00C359C9">
        <w:t xml:space="preserve"> </w:t>
      </w:r>
      <w:r w:rsidR="00C359C9">
        <w:t>LGCM framework. A primary reason for the scarcity of direct comparisons</w:t>
      </w:r>
      <w:r w:rsidR="00C359C9">
        <w:t xml:space="preserve"> </w:t>
      </w:r>
      <w:r w:rsidR="00C359C9">
        <w:t>between 1-LGCM and 2-LGCM is the fundamental lack of metric equivalence between</w:t>
      </w:r>
      <w:r w:rsidR="00C359C9">
        <w:t xml:space="preserve"> </w:t>
      </w:r>
      <w:r w:rsidR="00C359C9">
        <w:t>their scales. Addressing these methodological gaps motivated the present research.</w:t>
      </w:r>
    </w:p>
    <w:p w14:paraId="0A21F76E" w14:textId="66B98C6D" w:rsidR="00D23A2D" w:rsidRDefault="00D23A2D" w:rsidP="00BD26F1">
      <w:pPr>
        <w:widowControl w:val="0"/>
        <w:spacing w:before="240" w:line="480" w:lineRule="auto"/>
        <w:ind w:firstLine="720"/>
        <w:rPr>
          <w:lang w:eastAsia="ko-KR"/>
        </w:rPr>
      </w:pPr>
      <w:r w:rsidRPr="00D23A2D">
        <w:t xml:space="preserve">The main question of </w:t>
      </w:r>
      <w:r>
        <w:rPr>
          <w:lang w:eastAsia="ko-KR"/>
        </w:rPr>
        <w:t xml:space="preserve">current </w:t>
      </w:r>
      <w:r w:rsidRPr="00D23A2D">
        <w:t>study is when a sum-score 1-LGCM recovers growth parameters equivalent to those of a latent-variable 2-LGCM</w:t>
      </w:r>
      <w:r w:rsidR="00C53952">
        <w:t xml:space="preserve">. </w:t>
      </w:r>
      <w:r w:rsidR="00C53952" w:rsidRPr="00C53952">
        <w:t>Here</w:t>
      </w:r>
      <w:r w:rsidR="00C53952">
        <w:t>,</w:t>
      </w:r>
      <w:r w:rsidR="00C53952" w:rsidRPr="00C53952">
        <w:t xml:space="preserve"> equivalence means the two models recover the same growth parameters, not that they estimate them with equal precision in a finite sample.</w:t>
      </w:r>
      <w:r w:rsidR="00C53952">
        <w:t xml:space="preserve"> We address this question at the two levels</w:t>
      </w:r>
      <w:r w:rsidR="0037280C">
        <w:t>.</w:t>
      </w:r>
      <w:r w:rsidR="0037280C">
        <w:rPr>
          <w:lang w:eastAsia="ko-KR"/>
        </w:rPr>
        <w:t xml:space="preserve"> </w:t>
      </w:r>
      <w:r w:rsidRPr="00D23A2D">
        <w:rPr>
          <w:lang w:eastAsia="ko-KR"/>
        </w:rPr>
        <w:t xml:space="preserve">First, once the two models are on the same scale, do they recover identical population parameters, and does </w:t>
      </w:r>
      <w:r w:rsidRPr="00D23A2D">
        <w:rPr>
          <w:lang w:eastAsia="ko-KR"/>
        </w:rPr>
        <w:lastRenderedPageBreak/>
        <w:t xml:space="preserve">this still hold when </w:t>
      </w:r>
      <w:r>
        <w:rPr>
          <w:lang w:eastAsia="ko-KR"/>
        </w:rPr>
        <w:t>CU</w:t>
      </w:r>
      <w:r w:rsidRPr="00D23A2D">
        <w:rPr>
          <w:lang w:eastAsia="ko-KR"/>
        </w:rPr>
        <w:t xml:space="preserve"> is present? Second, where the population equivalence holds, do the two models still differ at finite sample sizes in accuracy, power, coverage, and admissibility?</w:t>
      </w:r>
    </w:p>
    <w:p w14:paraId="0144BBF2" w14:textId="092A7BB2" w:rsidR="00E93E3E" w:rsidRDefault="00D23A2D" w:rsidP="00BD26F1">
      <w:pPr>
        <w:widowControl w:val="0"/>
        <w:spacing w:before="240" w:line="480" w:lineRule="auto"/>
        <w:ind w:firstLine="720"/>
        <w:rPr>
          <w:lang w:eastAsia="ko-KR"/>
        </w:rPr>
      </w:pPr>
      <w:r>
        <w:rPr>
          <w:lang w:eastAsia="ko-KR"/>
        </w:rPr>
        <w:t xml:space="preserve">To answer the research question, </w:t>
      </w:r>
      <w:r>
        <w:t>w</w:t>
      </w:r>
      <w:r w:rsidR="000D3239">
        <w:t>e d</w:t>
      </w:r>
      <w:r w:rsidR="00000000">
        <w:t xml:space="preserve">erive how growth parameters of each model relate to the parameters from </w:t>
      </w:r>
      <w:r>
        <w:t xml:space="preserve">a </w:t>
      </w:r>
      <w:r w:rsidR="00000000">
        <w:t>generating model and show the relation is closed form under strong invariance</w:t>
      </w:r>
      <w:r w:rsidR="000D3239">
        <w:t xml:space="preserve"> </w:t>
      </w:r>
      <w:r>
        <w:t xml:space="preserve">condition </w:t>
      </w:r>
      <w:r w:rsidR="000D3239">
        <w:t xml:space="preserve">governed by the factor loadings and intercepts. </w:t>
      </w:r>
      <w:r w:rsidR="00DE773D">
        <w:t>W</w:t>
      </w:r>
      <w:r w:rsidR="00DE773D" w:rsidRPr="00DE773D">
        <w:t xml:space="preserve">e </w:t>
      </w:r>
      <w:r w:rsidR="00DE773D">
        <w:t xml:space="preserve">then </w:t>
      </w:r>
      <w:r w:rsidR="00DE773D" w:rsidRPr="00DE773D">
        <w:t xml:space="preserve">prove that the sum-score 1-LGCM recovers growth parameters without asymptotic bias under same-item adjacent-wave </w:t>
      </w:r>
      <w:r w:rsidR="00DE773D">
        <w:t>CU</w:t>
      </w:r>
      <w:r w:rsidR="00481E08">
        <w:t xml:space="preserve"> </w:t>
      </w:r>
      <w:proofErr w:type="gramStart"/>
      <w:r w:rsidR="00481E08">
        <w:t>as long as</w:t>
      </w:r>
      <w:proofErr w:type="gramEnd"/>
      <w:r w:rsidR="00000000">
        <w:t xml:space="preserve"> the </w:t>
      </w:r>
      <w:r w:rsidR="00481E08">
        <w:t xml:space="preserve">matching </w:t>
      </w:r>
      <w:r w:rsidR="00000000">
        <w:t xml:space="preserve">residual covariances are </w:t>
      </w:r>
      <w:r w:rsidR="00481E08">
        <w:t>modeled</w:t>
      </w:r>
      <w:r w:rsidR="00000000">
        <w:t>.</w:t>
      </w:r>
      <w:r w:rsidR="00BE7472">
        <w:rPr>
          <w:rFonts w:hint="eastAsia"/>
          <w:lang w:eastAsia="ko-KR"/>
        </w:rPr>
        <w:t xml:space="preserve"> </w:t>
      </w:r>
      <w:r w:rsidR="00481E08">
        <w:rPr>
          <w:lang w:eastAsia="ko-KR"/>
        </w:rPr>
        <w:t xml:space="preserve">Finally, a </w:t>
      </w:r>
      <w:r w:rsidR="00481E08">
        <w:t>s</w:t>
      </w:r>
      <w:r w:rsidR="00000000">
        <w:t>imulation study investigate</w:t>
      </w:r>
      <w:r w:rsidR="00481E08">
        <w:t>s</w:t>
      </w:r>
      <w:r w:rsidR="00000000">
        <w:t xml:space="preserve"> whether </w:t>
      </w:r>
      <w:r w:rsidR="00481E08">
        <w:t>these analytic equivalences</w:t>
      </w:r>
      <w:r w:rsidR="00000000">
        <w:t xml:space="preserve"> hold at finite sample </w:t>
      </w:r>
      <w:r w:rsidR="00DE773D">
        <w:t>sizes</w:t>
      </w:r>
      <w:r w:rsidR="009E7FCF">
        <w:t>.</w:t>
      </w:r>
    </w:p>
    <w:p w14:paraId="44EAD887" w14:textId="77777777" w:rsidR="00E93E3E" w:rsidRDefault="00000000" w:rsidP="00BD26F1">
      <w:pPr>
        <w:pStyle w:val="Heading1"/>
        <w:spacing w:before="360" w:after="58" w:line="360" w:lineRule="auto"/>
        <w:ind w:right="562"/>
        <w:rPr>
          <w:lang w:eastAsia="ko-KR"/>
        </w:rPr>
      </w:pPr>
      <w:bookmarkStart w:id="2" w:name="background"/>
      <w:bookmarkEnd w:id="0"/>
      <w:r>
        <w:t>2 Background</w:t>
      </w:r>
    </w:p>
    <w:p w14:paraId="60A28531" w14:textId="7941E1CB" w:rsidR="001E0C7E" w:rsidRPr="001E0C7E" w:rsidRDefault="001E0C7E" w:rsidP="00BD26F1">
      <w:pPr>
        <w:pStyle w:val="BodyText"/>
        <w:spacing w:before="240" w:after="0" w:line="480" w:lineRule="auto"/>
        <w:rPr>
          <w:lang w:eastAsia="ko-KR"/>
        </w:rPr>
      </w:pPr>
      <w:r w:rsidRPr="001E0C7E">
        <w:rPr>
          <w:lang w:eastAsia="ko-KR"/>
        </w:rPr>
        <w:t>This study treats the</w:t>
      </w:r>
      <w:r w:rsidR="002B074D">
        <w:rPr>
          <w:lang w:eastAsia="ko-KR"/>
        </w:rPr>
        <w:t xml:space="preserve"> latent variable</w:t>
      </w:r>
      <w:r w:rsidRPr="001E0C7E">
        <w:rPr>
          <w:lang w:eastAsia="ko-KR"/>
        </w:rPr>
        <w:t xml:space="preserve"> </w:t>
      </w:r>
      <w:r w:rsidR="002B074D">
        <w:rPr>
          <w:rFonts w:hint="eastAsia"/>
          <w:lang w:eastAsia="ko-KR"/>
        </w:rPr>
        <w:t>2-</w:t>
      </w:r>
      <w:r w:rsidRPr="001E0C7E">
        <w:rPr>
          <w:lang w:eastAsia="ko-KR"/>
        </w:rPr>
        <w:t>LGCM</w:t>
      </w:r>
      <w:r>
        <w:rPr>
          <w:lang w:eastAsia="ko-KR"/>
        </w:rPr>
        <w:t xml:space="preserve"> </w:t>
      </w:r>
      <w:r w:rsidRPr="001E0C7E">
        <w:rPr>
          <w:lang w:eastAsia="ko-KR"/>
        </w:rPr>
        <w:t>as the data-generating model and the</w:t>
      </w:r>
      <w:r w:rsidR="002B074D">
        <w:rPr>
          <w:lang w:eastAsia="ko-KR"/>
        </w:rPr>
        <w:t xml:space="preserve"> sum-score</w:t>
      </w:r>
      <w:r w:rsidR="002B074D">
        <w:rPr>
          <w:rFonts w:hint="eastAsia"/>
          <w:lang w:eastAsia="ko-KR"/>
        </w:rPr>
        <w:t xml:space="preserve"> 1-</w:t>
      </w:r>
      <w:r w:rsidRPr="001E0C7E">
        <w:rPr>
          <w:lang w:eastAsia="ko-KR"/>
        </w:rPr>
        <w:t xml:space="preserve">LGCM as </w:t>
      </w:r>
      <w:r w:rsidR="00DD2C3F">
        <w:rPr>
          <w:lang w:eastAsia="ko-KR"/>
        </w:rPr>
        <w:t>one types of</w:t>
      </w:r>
      <w:r w:rsidRPr="001E0C7E">
        <w:rPr>
          <w:lang w:eastAsia="ko-KR"/>
        </w:rPr>
        <w:t xml:space="preserve"> analysis model</w:t>
      </w:r>
      <w:r w:rsidR="00DD2C3F">
        <w:rPr>
          <w:lang w:eastAsia="ko-KR"/>
        </w:rPr>
        <w:t>s</w:t>
      </w:r>
      <w:r w:rsidRPr="001E0C7E">
        <w:rPr>
          <w:lang w:eastAsia="ko-KR"/>
        </w:rPr>
        <w:t xml:space="preserve"> fit to the </w:t>
      </w:r>
      <w:r w:rsidR="00DD2C3F">
        <w:rPr>
          <w:lang w:eastAsia="ko-KR"/>
        </w:rPr>
        <w:t>generated</w:t>
      </w:r>
      <w:r w:rsidRPr="001E0C7E">
        <w:rPr>
          <w:lang w:eastAsia="ko-KR"/>
        </w:rPr>
        <w:t xml:space="preserve"> data. We therefore specify the </w:t>
      </w:r>
      <w:r w:rsidR="002B074D">
        <w:rPr>
          <w:lang w:eastAsia="ko-KR"/>
        </w:rPr>
        <w:t>2-LGCM</w:t>
      </w:r>
      <w:r w:rsidRPr="001E0C7E">
        <w:rPr>
          <w:lang w:eastAsia="ko-KR"/>
        </w:rPr>
        <w:t xml:space="preserve"> first, since the sum score is defined as an aggregation of its indicators, and then derive what the sum-score </w:t>
      </w:r>
      <w:r w:rsidR="00AD7DC4">
        <w:rPr>
          <w:lang w:eastAsia="ko-KR"/>
        </w:rPr>
        <w:t>1-LGCM</w:t>
      </w:r>
      <w:r w:rsidRPr="001E0C7E">
        <w:rPr>
          <w:lang w:eastAsia="ko-KR"/>
        </w:rPr>
        <w:t xml:space="preserve"> recovers relative to </w:t>
      </w:r>
      <w:r w:rsidR="00DD2C3F">
        <w:rPr>
          <w:lang w:eastAsia="ko-KR"/>
        </w:rPr>
        <w:t>2-LGCM</w:t>
      </w:r>
      <w:r w:rsidRPr="001E0C7E">
        <w:rPr>
          <w:lang w:eastAsia="ko-KR"/>
        </w:rPr>
        <w:t>.</w:t>
      </w:r>
    </w:p>
    <w:p w14:paraId="0614CB16" w14:textId="473BAA84" w:rsidR="00E93E3E" w:rsidRPr="00BD26F1" w:rsidRDefault="00000000" w:rsidP="00BD26F1">
      <w:pPr>
        <w:pStyle w:val="Heading2"/>
        <w:spacing w:before="240" w:line="360" w:lineRule="auto"/>
        <w:rPr>
          <w:b/>
          <w:bCs/>
        </w:rPr>
      </w:pPr>
      <w:bookmarkStart w:id="3" w:name="X465b67ddc3db9e8f9178564016ade8093da3a99"/>
      <w:r w:rsidRPr="00BD26F1">
        <w:rPr>
          <w:b/>
          <w:bCs/>
        </w:rPr>
        <w:t xml:space="preserve">2.1 </w:t>
      </w:r>
      <w:r w:rsidR="00CA3F83" w:rsidRPr="00BD26F1">
        <w:rPr>
          <w:b/>
          <w:bCs/>
        </w:rPr>
        <w:t>Second-Order LGCM: Specification and Identification</w:t>
      </w:r>
    </w:p>
    <w:p w14:paraId="66BFB241" w14:textId="6F801EE8" w:rsidR="00E93E3E" w:rsidRDefault="00000000" w:rsidP="00BD26F1">
      <w:pPr>
        <w:pStyle w:val="FirstParagraph"/>
        <w:spacing w:before="240" w:after="0" w:line="480" w:lineRule="auto"/>
      </w:pPr>
      <w:r>
        <w:t xml:space="preserve">Suppose </w:t>
      </w:r>
      <m:oMath>
        <m:r>
          <w:rPr>
            <w:rFonts w:ascii="Cambria Math" w:hAnsi="Cambria Math"/>
          </w:rPr>
          <m:t>I</m:t>
        </m:r>
      </m:oMath>
      <w:r>
        <w:t xml:space="preserve"> items are observed at each of </w:t>
      </w:r>
      <m:oMath>
        <m:r>
          <w:rPr>
            <w:rFonts w:ascii="Cambria Math" w:hAnsi="Cambria Math"/>
          </w:rPr>
          <m:t>T</m:t>
        </m:r>
      </m:oMath>
      <w:r>
        <w:t xml:space="preserve"> time points; the running example throughout uses </w:t>
      </w:r>
      <m:oMath>
        <m:r>
          <w:rPr>
            <w:rFonts w:ascii="Cambria Math" w:hAnsi="Cambria Math"/>
          </w:rPr>
          <m:t>I</m:t>
        </m:r>
        <m:r>
          <m:rPr>
            <m:sty m:val="p"/>
          </m:rPr>
          <w:rPr>
            <w:rFonts w:ascii="Cambria Math" w:hAnsi="Cambria Math"/>
          </w:rPr>
          <m:t>=</m:t>
        </m:r>
        <m:r>
          <w:rPr>
            <w:rFonts w:ascii="Cambria Math" w:hAnsi="Cambria Math"/>
          </w:rPr>
          <m:t>5</m:t>
        </m:r>
      </m:oMath>
      <w:r>
        <w:t xml:space="preserve"> items and </w:t>
      </w:r>
      <m:oMath>
        <m:r>
          <w:rPr>
            <w:rFonts w:ascii="Cambria Math" w:hAnsi="Cambria Math"/>
          </w:rPr>
          <m:t>T</m:t>
        </m:r>
        <m:r>
          <m:rPr>
            <m:sty m:val="p"/>
          </m:rPr>
          <w:rPr>
            <w:rFonts w:ascii="Cambria Math" w:hAnsi="Cambria Math"/>
          </w:rPr>
          <m:t>=</m:t>
        </m:r>
        <m:r>
          <w:rPr>
            <w:rFonts w:ascii="Cambria Math" w:hAnsi="Cambria Math"/>
          </w:rPr>
          <m:t>5</m:t>
        </m:r>
      </m:oMath>
      <w:r>
        <w:t xml:space="preserve"> time points. Letting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denote a person’s response to item </w:t>
      </w:r>
      <m:oMath>
        <m:r>
          <w:rPr>
            <w:rFonts w:ascii="Cambria Math" w:hAnsi="Cambria Math"/>
          </w:rPr>
          <m:t>i</m:t>
        </m:r>
      </m:oMath>
      <w:r>
        <w:t xml:space="preserve"> at time </w:t>
      </w:r>
      <m:oMath>
        <m:r>
          <w:rPr>
            <w:rFonts w:ascii="Cambria Math" w:hAnsi="Cambria Math"/>
          </w:rPr>
          <m:t>t</m:t>
        </m:r>
      </m:oMath>
      <w:r>
        <w:t xml:space="preserve">, let </w:t>
      </w:r>
      <m:oMath>
        <m:r>
          <m:rPr>
            <m:sty m:val="b"/>
          </m:rPr>
          <w:rPr>
            <w:rFonts w:ascii="Cambria Math" w:hAnsi="Cambria Math"/>
          </w:rPr>
          <m:t>y</m:t>
        </m:r>
      </m:oMath>
      <w:r>
        <w:t xml:space="preserve"> denote the </w:t>
      </w:r>
      <m:oMath>
        <m:r>
          <w:rPr>
            <w:rFonts w:ascii="Cambria Math" w:hAnsi="Cambria Math"/>
          </w:rPr>
          <m:t>IT</m:t>
        </m:r>
        <m:r>
          <m:rPr>
            <m:sty m:val="p"/>
          </m:rPr>
          <w:rPr>
            <w:rFonts w:ascii="Cambria Math" w:hAnsi="Cambria Math"/>
          </w:rPr>
          <m:t>×</m:t>
        </m:r>
        <m:r>
          <w:rPr>
            <w:rFonts w:ascii="Cambria Math" w:hAnsi="Cambria Math"/>
          </w:rPr>
          <m:t>1</m:t>
        </m:r>
      </m:oMath>
      <w:r>
        <w:t xml:space="preserve"> response vector for a person, stacked as items within time:</w:t>
      </w:r>
    </w:p>
    <w:p w14:paraId="632653D8" w14:textId="7527BFF5" w:rsidR="00E93E3E" w:rsidRDefault="00000000" w:rsidP="00BD26F1">
      <w:pPr>
        <w:pStyle w:val="BodyText"/>
        <w:spacing w:before="240" w:after="0" w:line="480" w:lineRule="auto"/>
      </w:pPr>
      <m:oMathPara>
        <m:oMathParaPr>
          <m:jc m:val="center"/>
        </m:oMathParaPr>
        <m:oMath>
          <m:r>
            <m:rPr>
              <m:sty m:val="b"/>
            </m:rPr>
            <w:rPr>
              <w:rFonts w:ascii="Cambria Math" w:hAnsi="Cambria Math"/>
            </w:rPr>
            <w:lastRenderedPageBreak/>
            <m:t>y</m:t>
          </m:r>
          <m:r>
            <m:rPr>
              <m:sty m:val="p"/>
            </m:rPr>
            <w:rPr>
              <w:rFonts w:ascii="Cambria Math" w:hAnsi="Cambria Math"/>
            </w:rPr>
            <m:t>=</m:t>
          </m:r>
          <m:d>
            <m:dPr>
              <m:begChr m:val="["/>
              <m:endChr m:val="]"/>
              <m:ctrlPr>
                <w:rPr>
                  <w:rFonts w:ascii="Cambria Math" w:hAnsi="Cambria Math"/>
                  <w:i/>
                </w:rPr>
              </m:ctrlPr>
            </m:dPr>
            <m:e>
              <m:m>
                <m:mPr>
                  <m:plcHide m:val="1"/>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e>
                </m:mr>
                <m:mr>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51</m:t>
                        </m:r>
                      </m:sub>
                    </m:sSub>
                  </m:e>
                </m:mr>
                <m:mr>
                  <m:e>
                    <m:sSub>
                      <m:sSubPr>
                        <m:ctrlPr>
                          <w:rPr>
                            <w:rFonts w:ascii="Cambria Math" w:hAnsi="Cambria Math"/>
                            <w:i/>
                          </w:rPr>
                        </m:ctrlPr>
                      </m:sSubPr>
                      <m:e>
                        <m:r>
                          <w:rPr>
                            <w:rFonts w:ascii="Cambria Math" w:hAnsi="Cambria Math"/>
                          </w:rPr>
                          <m:t>y</m:t>
                        </m:r>
                      </m:e>
                      <m:sub>
                        <m:r>
                          <w:rPr>
                            <w:rFonts w:ascii="Cambria Math" w:hAnsi="Cambria Math"/>
                          </w:rPr>
                          <m:t>12</m:t>
                        </m:r>
                      </m:sub>
                    </m:sSub>
                  </m:e>
                </m:mr>
                <m:mr>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55</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11</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51</m:t>
                        </m:r>
                      </m:sub>
                    </m:sSub>
                  </m:e>
                </m:mr>
                <m:mr>
                  <m:e>
                    <m:sSub>
                      <m:sSubPr>
                        <m:ctrlPr>
                          <w:rPr>
                            <w:rFonts w:ascii="Cambria Math" w:hAnsi="Cambria Math"/>
                          </w:rPr>
                        </m:ctrlPr>
                      </m:sSubPr>
                      <m:e>
                        <m:r>
                          <w:rPr>
                            <w:rFonts w:ascii="Cambria Math" w:hAnsi="Cambria Math"/>
                          </w:rPr>
                          <m:t>τ</m:t>
                        </m:r>
                      </m:e>
                      <m:sub>
                        <m:r>
                          <w:rPr>
                            <w:rFonts w:ascii="Cambria Math" w:hAnsi="Cambria Math"/>
                          </w:rPr>
                          <m:t>12</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55</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11</m:t>
                        </m:r>
                      </m:sub>
                    </m:sSub>
                  </m:e>
                  <m:e>
                    <m:r>
                      <w:rPr>
                        <w:rFonts w:ascii="Cambria Math" w:hAnsi="Cambria Math"/>
                      </w:rPr>
                      <m:t>0</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e>
                    <m:r>
                      <m:rPr>
                        <m:sty m:val="p"/>
                      </m:rPr>
                      <w:rPr>
                        <w:rFonts w:ascii="Cambria Math" w:hAnsi="Cambria Math"/>
                      </w:rPr>
                      <m:t>⋮</m:t>
                    </m:r>
                  </m:e>
                </m:mr>
                <m:mr>
                  <m:e>
                    <m:sSub>
                      <m:sSubPr>
                        <m:ctrlPr>
                          <w:rPr>
                            <w:rFonts w:ascii="Cambria Math" w:hAnsi="Cambria Math"/>
                          </w:rPr>
                        </m:ctrlPr>
                      </m:sSubPr>
                      <m:e>
                        <m:r>
                          <w:rPr>
                            <w:rFonts w:ascii="Cambria Math" w:hAnsi="Cambria Math"/>
                          </w:rPr>
                          <m:t>λ</m:t>
                        </m:r>
                      </m:e>
                      <m:sub>
                        <m:r>
                          <w:rPr>
                            <w:rFonts w:ascii="Cambria Math" w:hAnsi="Cambria Math"/>
                          </w:rPr>
                          <m:t>51</m:t>
                        </m:r>
                      </m:sub>
                    </m:sSub>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12</m:t>
                        </m:r>
                      </m:sub>
                    </m:sSub>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sSub>
                      <m:sSubPr>
                        <m:ctrlPr>
                          <w:rPr>
                            <w:rFonts w:ascii="Cambria Math" w:hAnsi="Cambria Math"/>
                          </w:rPr>
                        </m:ctrlPr>
                      </m:sSubPr>
                      <m:e>
                        <m:r>
                          <w:rPr>
                            <w:rFonts w:ascii="Cambria Math" w:hAnsi="Cambria Math"/>
                          </w:rPr>
                          <m:t>λ</m:t>
                        </m:r>
                      </m:e>
                      <m:sub>
                        <m:r>
                          <w:rPr>
                            <w:rFonts w:ascii="Cambria Math" w:hAnsi="Cambria Math"/>
                          </w:rPr>
                          <m:t>55</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η</m:t>
                        </m:r>
                      </m:e>
                      <m:sub>
                        <m:r>
                          <w:rPr>
                            <w:rFonts w:ascii="Cambria Math" w:hAnsi="Cambria Math"/>
                          </w:rPr>
                          <m:t>1</m:t>
                        </m:r>
                      </m:sub>
                    </m:sSub>
                  </m:e>
                </m:mr>
                <m:mr>
                  <m:e>
                    <m:sSub>
                      <m:sSubPr>
                        <m:ctrlPr>
                          <w:rPr>
                            <w:rFonts w:ascii="Cambria Math" w:hAnsi="Cambria Math"/>
                          </w:rPr>
                        </m:ctrlPr>
                      </m:sSubPr>
                      <m:e>
                        <m:r>
                          <w:rPr>
                            <w:rFonts w:ascii="Cambria Math" w:hAnsi="Cambria Math"/>
                          </w:rPr>
                          <m:t>η</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5</m:t>
                        </m:r>
                      </m:sub>
                    </m:sSub>
                  </m:e>
                </m:mr>
              </m:m>
            </m:e>
          </m:d>
          <m:r>
            <m:rPr>
              <m:sty m:val="p"/>
            </m:rPr>
            <w:rPr>
              <w:rFonts w:ascii="Cambria Math" w:hAnsi="Cambria Math"/>
            </w:rPr>
            <m:t>+</m:t>
          </m:r>
          <m:d>
            <m:dPr>
              <m:begChr m:val="["/>
              <m:endChr m:val="]"/>
              <m:ctrlPr>
                <w:rPr>
                  <w:rFonts w:ascii="Cambria Math" w:hAnsi="Cambria Math"/>
                  <w:i/>
                </w:rPr>
              </m:ctrlPr>
            </m:dPr>
            <m:e>
              <m:m>
                <m:mPr>
                  <m:plcHide m:val="1"/>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ε</m:t>
                        </m:r>
                      </m:e>
                      <m:sub>
                        <m:r>
                          <w:rPr>
                            <w:rFonts w:ascii="Cambria Math" w:hAnsi="Cambria Math"/>
                          </w:rPr>
                          <m:t>11</m:t>
                        </m:r>
                      </m:sub>
                    </m:sSub>
                  </m:e>
                </m:mr>
                <m:mr>
                  <m:e>
                    <m:r>
                      <w:rPr>
                        <w:rFonts w:ascii="Cambria Math" w:hAnsi="Cambria Math"/>
                      </w:rPr>
                      <m:t>⋮</m:t>
                    </m:r>
                  </m:e>
                </m:mr>
                <m:mr>
                  <m:e>
                    <m:sSub>
                      <m:sSubPr>
                        <m:ctrlPr>
                          <w:rPr>
                            <w:rFonts w:ascii="Cambria Math" w:hAnsi="Cambria Math"/>
                            <w:i/>
                          </w:rPr>
                        </m:ctrlPr>
                      </m:sSubPr>
                      <m:e>
                        <m:r>
                          <w:rPr>
                            <w:rFonts w:ascii="Cambria Math" w:hAnsi="Cambria Math"/>
                          </w:rPr>
                          <m:t>ε</m:t>
                        </m:r>
                      </m:e>
                      <m:sub>
                        <m:r>
                          <w:rPr>
                            <w:rFonts w:ascii="Cambria Math" w:hAnsi="Cambria Math"/>
                          </w:rPr>
                          <m:t>51</m:t>
                        </m:r>
                      </m:sub>
                    </m:sSub>
                  </m:e>
                </m:mr>
                <m:mr>
                  <m:e>
                    <m:sSub>
                      <m:sSubPr>
                        <m:ctrlPr>
                          <w:rPr>
                            <w:rFonts w:ascii="Cambria Math" w:hAnsi="Cambria Math"/>
                            <w:i/>
                          </w:rPr>
                        </m:ctrlPr>
                      </m:sSubPr>
                      <m:e>
                        <m:r>
                          <w:rPr>
                            <w:rFonts w:ascii="Cambria Math" w:hAnsi="Cambria Math"/>
                          </w:rPr>
                          <m:t>ε</m:t>
                        </m:r>
                      </m:e>
                      <m:sub>
                        <m:r>
                          <w:rPr>
                            <w:rFonts w:ascii="Cambria Math" w:hAnsi="Cambria Math"/>
                          </w:rPr>
                          <m:t>12</m:t>
                        </m:r>
                      </m:sub>
                    </m:sSub>
                  </m:e>
                </m:mr>
                <m:mr>
                  <m:e>
                    <m:r>
                      <w:rPr>
                        <w:rFonts w:ascii="Cambria Math" w:hAnsi="Cambria Math"/>
                      </w:rPr>
                      <m:t>⋮</m:t>
                    </m:r>
                  </m:e>
                </m:mr>
                <m:mr>
                  <m:e>
                    <m:sSub>
                      <m:sSubPr>
                        <m:ctrlPr>
                          <w:rPr>
                            <w:rFonts w:ascii="Cambria Math" w:hAnsi="Cambria Math"/>
                            <w:i/>
                          </w:rPr>
                        </m:ctrlPr>
                      </m:sSubPr>
                      <m:e>
                        <m:r>
                          <w:rPr>
                            <w:rFonts w:ascii="Cambria Math" w:hAnsi="Cambria Math"/>
                          </w:rPr>
                          <m:t>ε</m:t>
                        </m:r>
                      </m:e>
                      <m:sub>
                        <m:r>
                          <w:rPr>
                            <w:rFonts w:ascii="Cambria Math" w:hAnsi="Cambria Math"/>
                          </w:rPr>
                          <m:t>55</m:t>
                        </m:r>
                      </m:sub>
                    </m:sSub>
                  </m:e>
                </m:mr>
              </m:m>
            </m:e>
          </m:d>
          <m:r>
            <w:rPr>
              <w:rFonts w:ascii="Cambria Math" w:hAnsi="Cambria Math"/>
            </w:rPr>
            <m:t xml:space="preserve"> .</m:t>
          </m:r>
        </m:oMath>
      </m:oMathPara>
    </w:p>
    <w:p w14:paraId="506B811A" w14:textId="77777777" w:rsidR="00E93E3E" w:rsidRDefault="00000000" w:rsidP="00BD26F1">
      <w:pPr>
        <w:pStyle w:val="FirstParagraph"/>
        <w:spacing w:before="240" w:after="0" w:line="480" w:lineRule="auto"/>
        <w:rPr>
          <w:rFonts w:hint="eastAsia"/>
          <w:lang w:eastAsia="ko-KR"/>
        </w:rPr>
      </w:pPr>
      <w:r>
        <w:t>In matrix form, the measurement model is</w:t>
      </w:r>
    </w:p>
    <w:p w14:paraId="38A30965" w14:textId="4E35EB69" w:rsidR="003A7DF8" w:rsidRPr="003A7DF8" w:rsidRDefault="003A7DF8" w:rsidP="00BD26F1">
      <w:pPr>
        <w:pStyle w:val="BodyText"/>
        <w:spacing w:before="240" w:after="0" w:line="480" w:lineRule="auto"/>
      </w:pPr>
      <m:oMathPara>
        <m:oMathParaPr>
          <m:jc m:val="right"/>
        </m:oMathParaPr>
        <m:oMath>
          <m:r>
            <m:rPr>
              <m:sty m:val="b"/>
            </m:rPr>
            <w:rPr>
              <w:rFonts w:ascii="Cambria Math" w:hAnsi="Cambria Math"/>
            </w:rPr>
            <m:t>y</m:t>
          </m:r>
          <m:r>
            <m:rPr>
              <m:sty m:val="p"/>
            </m:rPr>
            <w:rPr>
              <w:rFonts w:ascii="Cambria Math" w:hAnsi="Cambria Math"/>
            </w:rPr>
            <m:t>=</m:t>
          </m:r>
          <m:r>
            <m:rPr>
              <m:sty m:val="b"/>
            </m:rPr>
            <w:rPr>
              <w:rFonts w:ascii="Cambria Math" w:hAnsi="Cambria Math"/>
            </w:rPr>
            <m:t>τ</m:t>
          </m:r>
          <m:r>
            <m:rPr>
              <m:sty m:val="p"/>
            </m:rPr>
            <w:rPr>
              <w:rFonts w:ascii="Cambria Math" w:hAnsi="Cambria Math"/>
            </w:rPr>
            <m:t>+</m:t>
          </m:r>
          <m:r>
            <m:rPr>
              <m:sty m:val="b"/>
            </m:rPr>
            <w:rPr>
              <w:rFonts w:ascii="Cambria Math" w:hAnsi="Cambria Math"/>
            </w:rPr>
            <m:t>Λ</m:t>
          </m:r>
          <m:r>
            <w:rPr>
              <w:rFonts w:ascii="Cambria Math" w:hAnsi="Cambria Math"/>
            </w:rPr>
            <m:t> </m:t>
          </m:r>
          <m:r>
            <m:rPr>
              <m:sty m:val="b"/>
            </m:rPr>
            <w:rPr>
              <w:rFonts w:ascii="Cambria Math" w:hAnsi="Cambria Math"/>
            </w:rPr>
            <m:t>η</m:t>
          </m:r>
          <m:r>
            <m:rPr>
              <m:sty m:val="p"/>
            </m:rPr>
            <w:rPr>
              <w:rFonts w:ascii="Cambria Math" w:hAnsi="Cambria Math"/>
            </w:rPr>
            <m:t>+</m:t>
          </m:r>
          <m:r>
            <m:rPr>
              <m:sty m:val="b"/>
            </m:rPr>
            <w:rPr>
              <w:rFonts w:ascii="Cambria Math" w:hAnsi="Cambria Math"/>
            </w:rPr>
            <m:t>ε</m:t>
          </m:r>
          <m:r>
            <m:rPr>
              <m:sty m:val="p"/>
            </m:rPr>
            <w:rPr>
              <w:rFonts w:ascii="Cambria Math" w:hAnsi="Cambria Math"/>
            </w:rPr>
            <m:t>,</m:t>
          </m:r>
          <m:r>
            <w:rPr>
              <w:rFonts w:ascii="Cambria Math" w:hAnsi="Cambria Math"/>
              <w:lang w:val="sv-SE"/>
            </w:rPr>
            <w:tab/>
          </m:r>
          <m:r>
            <w:rPr>
              <w:rFonts w:ascii="Cambria Math" w:hAnsi="Cambria Math"/>
              <w:lang w:val="sv-SE"/>
            </w:rPr>
            <m:t xml:space="preserve">  </m:t>
          </m:r>
          <m:r>
            <w:rPr>
              <w:rFonts w:ascii="Cambria Math" w:hAnsi="Cambria Math"/>
              <w:lang w:val="sv-SE"/>
            </w:rPr>
            <m:t xml:space="preserve">                                                            </m:t>
          </m:r>
          <m:d>
            <m:dPr>
              <m:ctrlPr>
                <w:rPr>
                  <w:rFonts w:ascii="Cambria Math" w:hAnsi="Cambria Math"/>
                </w:rPr>
              </m:ctrlPr>
            </m:dPr>
            <m:e>
              <m:r>
                <w:rPr>
                  <w:rFonts w:ascii="Cambria Math" w:hAnsi="Cambria Math"/>
                  <w:lang w:val="sv-SE"/>
                </w:rPr>
                <m:t>1</m:t>
              </m:r>
            </m:e>
          </m:d>
        </m:oMath>
      </m:oMathPara>
    </w:p>
    <w:p w14:paraId="2C7D4197" w14:textId="6F495B4B" w:rsidR="00E93E3E" w:rsidRDefault="00000000" w:rsidP="00BD26F1">
      <w:pPr>
        <w:pStyle w:val="FirstParagraph"/>
        <w:spacing w:before="240" w:after="0" w:line="480" w:lineRule="auto"/>
      </w:pPr>
      <w:r>
        <w:t xml:space="preserve">where </w:t>
      </w:r>
      <m:oMath>
        <m:r>
          <m:rPr>
            <m:sty m:val="b"/>
          </m:rPr>
          <w:rPr>
            <w:rFonts w:ascii="Cambria Math" w:hAnsi="Cambria Math"/>
          </w:rPr>
          <m:t>τ</m:t>
        </m:r>
      </m:oMath>
      <w:r>
        <w:t xml:space="preserve"> is an </w:t>
      </w:r>
      <m:oMath>
        <m:r>
          <w:rPr>
            <w:rFonts w:ascii="Cambria Math" w:hAnsi="Cambria Math"/>
          </w:rPr>
          <m:t>IT</m:t>
        </m:r>
        <m:r>
          <m:rPr>
            <m:sty m:val="p"/>
          </m:rPr>
          <w:rPr>
            <w:rFonts w:ascii="Cambria Math" w:hAnsi="Cambria Math"/>
          </w:rPr>
          <m:t>×</m:t>
        </m:r>
        <m:r>
          <w:rPr>
            <w:rFonts w:ascii="Cambria Math" w:hAnsi="Cambria Math"/>
          </w:rPr>
          <m:t>1</m:t>
        </m:r>
      </m:oMath>
      <w:r>
        <w:t xml:space="preserve"> vector of measurement intercepts, </w:t>
      </w:r>
      <m:oMath>
        <m:r>
          <m:rPr>
            <m:sty m:val="b"/>
          </m:rPr>
          <w:rPr>
            <w:rFonts w:ascii="Cambria Math" w:hAnsi="Cambria Math"/>
          </w:rPr>
          <m:t>Λ</m:t>
        </m:r>
      </m:oMath>
      <w:r>
        <w:t xml:space="preserve"> is an </w:t>
      </w:r>
      <m:oMath>
        <m:r>
          <w:rPr>
            <w:rFonts w:ascii="Cambria Math" w:hAnsi="Cambria Math"/>
          </w:rPr>
          <m:t>IT</m:t>
        </m:r>
        <m:r>
          <m:rPr>
            <m:sty m:val="p"/>
          </m:rPr>
          <w:rPr>
            <w:rFonts w:ascii="Cambria Math" w:hAnsi="Cambria Math"/>
          </w:rPr>
          <m:t>×</m:t>
        </m:r>
        <m:r>
          <w:rPr>
            <w:rFonts w:ascii="Cambria Math" w:hAnsi="Cambria Math"/>
          </w:rPr>
          <m:t>T</m:t>
        </m:r>
      </m:oMath>
      <w:r>
        <w:t xml:space="preserve"> factor loading matrix, and </w:t>
      </w:r>
      <m:oMath>
        <m:r>
          <m:rPr>
            <m:sty m:val="b"/>
          </m:rPr>
          <w:rPr>
            <w:rFonts w:ascii="Cambria Math" w:hAnsi="Cambria Math"/>
          </w:rPr>
          <m:t>ε</m:t>
        </m:r>
      </m:oMath>
      <w:r>
        <w:t xml:space="preserve"> is an </w:t>
      </w:r>
      <m:oMath>
        <m:r>
          <w:rPr>
            <w:rFonts w:ascii="Cambria Math" w:hAnsi="Cambria Math"/>
          </w:rPr>
          <m:t>IT</m:t>
        </m:r>
        <m:r>
          <m:rPr>
            <m:sty m:val="p"/>
          </m:rPr>
          <w:rPr>
            <w:rFonts w:ascii="Cambria Math" w:hAnsi="Cambria Math"/>
          </w:rPr>
          <m:t>×</m:t>
        </m:r>
        <m:r>
          <w:rPr>
            <w:rFonts w:ascii="Cambria Math" w:hAnsi="Cambria Math"/>
          </w:rPr>
          <m:t>1</m:t>
        </m:r>
      </m:oMath>
      <w:r>
        <w:t xml:space="preserve"> residual vector with </w:t>
      </w:r>
      <m:oMath>
        <m:r>
          <m:rPr>
            <m:sty m:val="p"/>
          </m:rPr>
          <w:rPr>
            <w:rFonts w:ascii="Cambria Math" w:hAnsi="Cambria Math"/>
          </w:rPr>
          <m:t>E</m:t>
        </m:r>
        <m:d>
          <m:dPr>
            <m:ctrlPr>
              <w:rPr>
                <w:rFonts w:ascii="Cambria Math" w:hAnsi="Cambria Math"/>
              </w:rPr>
            </m:ctrlPr>
          </m:dPr>
          <m:e>
            <m:r>
              <m:rPr>
                <m:sty m:val="b"/>
              </m:rPr>
              <w:rPr>
                <w:rFonts w:ascii="Cambria Math" w:hAnsi="Cambria Math"/>
              </w:rPr>
              <m:t>ε</m:t>
            </m:r>
          </m:e>
        </m:d>
        <m:r>
          <m:rPr>
            <m:sty m:val="p"/>
          </m:rPr>
          <w:rPr>
            <w:rFonts w:ascii="Cambria Math" w:hAnsi="Cambria Math"/>
          </w:rPr>
          <m:t>=</m:t>
        </m:r>
        <m:r>
          <m:rPr>
            <m:sty m:val="b"/>
          </m:rPr>
          <w:rPr>
            <w:rFonts w:ascii="Cambria Math" w:hAnsi="Cambria Math"/>
          </w:rPr>
          <m:t>0</m:t>
        </m:r>
      </m:oMath>
      <w:r>
        <w:t xml:space="preserve"> and </w:t>
      </w:r>
      <m:oMath>
        <m:r>
          <m:rPr>
            <m:sty m:val="p"/>
          </m:rPr>
          <w:rPr>
            <w:rFonts w:ascii="Cambria Math" w:hAnsi="Cambria Math"/>
          </w:rPr>
          <m:t>Var</m:t>
        </m:r>
        <m:d>
          <m:dPr>
            <m:ctrlPr>
              <w:rPr>
                <w:rFonts w:ascii="Cambria Math" w:hAnsi="Cambria Math"/>
              </w:rPr>
            </m:ctrlPr>
          </m:dPr>
          <m:e>
            <m:r>
              <m:rPr>
                <m:sty m:val="b"/>
              </m:rPr>
              <w:rPr>
                <w:rFonts w:ascii="Cambria Math" w:hAnsi="Cambria Math"/>
              </w:rPr>
              <m:t>ε</m:t>
            </m:r>
          </m:e>
        </m:d>
        <m:r>
          <m:rPr>
            <m:sty m:val="p"/>
          </m:rPr>
          <w:rPr>
            <w:rFonts w:ascii="Cambria Math" w:hAnsi="Cambria Math"/>
          </w:rPr>
          <m:t>=</m:t>
        </m:r>
        <m:r>
          <m:rPr>
            <m:sty m:val="b"/>
          </m:rPr>
          <w:rPr>
            <w:rFonts w:ascii="Cambria Math" w:hAnsi="Cambria Math"/>
          </w:rPr>
          <m:t>Θ</m:t>
        </m:r>
      </m:oMath>
      <w:r>
        <w:t xml:space="preserve">. </w:t>
      </w:r>
      <w:r w:rsidR="007170CF" w:rsidRPr="007170CF">
        <w:t xml:space="preserve">Here the parameters and latent variables carry no superscript denoting the data-generating population model. The conditional mean of </w:t>
      </w:r>
      <m:oMath>
        <m:r>
          <m:rPr>
            <m:sty m:val="b"/>
          </m:rPr>
          <w:rPr>
            <w:rFonts w:ascii="Cambria Math" w:hAnsi="Cambria Math"/>
          </w:rPr>
          <m:t>y</m:t>
        </m:r>
      </m:oMath>
      <w:r>
        <w:t xml:space="preserve"> given the latent factor vector </w:t>
      </w:r>
      <m:oMath>
        <m:r>
          <m:rPr>
            <m:sty m:val="b"/>
          </m:rPr>
          <w:rPr>
            <w:rFonts w:ascii="Cambria Math" w:hAnsi="Cambria Math"/>
          </w:rPr>
          <m:t>η</m:t>
        </m:r>
      </m:oMath>
      <w:r>
        <w:t xml:space="preserve"> is</w:t>
      </w:r>
    </w:p>
    <w:p w14:paraId="5C4A1B97" w14:textId="51E00DAC" w:rsidR="00E93E3E" w:rsidRPr="003A7DF8" w:rsidRDefault="00000000" w:rsidP="00BD26F1">
      <w:pPr>
        <w:pStyle w:val="BodyText"/>
        <w:spacing w:before="240" w:after="0" w:line="480" w:lineRule="auto"/>
        <w:rPr>
          <w:rFonts w:hint="eastAsia"/>
          <w:lang w:val="sv-SE" w:eastAsia="ko-KR"/>
        </w:rPr>
      </w:pPr>
      <m:oMathPara>
        <m:oMathParaPr>
          <m:jc m:val="right"/>
        </m:oMathParaPr>
        <m:oMath>
          <m:r>
            <m:rPr>
              <m:sty m:val="p"/>
            </m:rPr>
            <w:rPr>
              <w:rFonts w:ascii="Cambria Math" w:hAnsi="Cambria Math"/>
              <w:lang w:val="sv-SE"/>
            </w:rPr>
            <m:t>E</m:t>
          </m:r>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lang w:val="sv-SE"/>
                </w:rPr>
                <m:t>∣</m:t>
              </m:r>
              <m:r>
                <m:rPr>
                  <m:sty m:val="b"/>
                </m:rPr>
                <w:rPr>
                  <w:rFonts w:ascii="Cambria Math" w:hAnsi="Cambria Math"/>
                </w:rPr>
                <m:t>η</m:t>
              </m:r>
            </m:e>
          </m:d>
          <m:r>
            <m:rPr>
              <m:sty m:val="p"/>
            </m:rPr>
            <w:rPr>
              <w:rFonts w:ascii="Cambria Math" w:hAnsi="Cambria Math"/>
              <w:lang w:val="sv-SE"/>
            </w:rPr>
            <m:t>=</m:t>
          </m:r>
          <m:r>
            <m:rPr>
              <m:sty m:val="b"/>
            </m:rPr>
            <w:rPr>
              <w:rFonts w:ascii="Cambria Math" w:hAnsi="Cambria Math"/>
            </w:rPr>
            <m:t>τ</m:t>
          </m:r>
          <m:r>
            <m:rPr>
              <m:sty m:val="p"/>
            </m:rPr>
            <w:rPr>
              <w:rFonts w:ascii="Cambria Math" w:hAnsi="Cambria Math"/>
              <w:lang w:val="sv-SE"/>
            </w:rPr>
            <m:t>+</m:t>
          </m:r>
          <m:r>
            <m:rPr>
              <m:sty m:val="b"/>
            </m:rPr>
            <w:rPr>
              <w:rFonts w:ascii="Cambria Math" w:hAnsi="Cambria Math"/>
            </w:rPr>
            <m:t>Λ</m:t>
          </m:r>
          <m:r>
            <w:rPr>
              <w:rFonts w:ascii="Cambria Math" w:hAnsi="Cambria Math"/>
              <w:lang w:val="sv-SE"/>
            </w:rPr>
            <m:t> </m:t>
          </m:r>
          <m:r>
            <m:rPr>
              <m:sty m:val="b"/>
            </m:rPr>
            <w:rPr>
              <w:rFonts w:ascii="Cambria Math" w:hAnsi="Cambria Math"/>
            </w:rPr>
            <m:t>η</m:t>
          </m:r>
          <m:r>
            <m:rPr>
              <m:sty m:val="p"/>
            </m:rPr>
            <w:rPr>
              <w:rFonts w:ascii="Cambria Math" w:hAnsi="Cambria Math"/>
              <w:lang w:val="sv-SE"/>
            </w:rPr>
            <m:t>,</m:t>
          </m:r>
          <m:r>
            <w:rPr>
              <w:rFonts w:ascii="Cambria Math" w:hAnsi="Cambria Math"/>
              <w:lang w:val="sv-SE"/>
            </w:rPr>
            <m:t>  </m:t>
          </m:r>
          <m:r>
            <w:rPr>
              <w:rFonts w:ascii="Cambria Math" w:hAnsi="Cambria Math"/>
              <w:lang w:val="sv-SE"/>
            </w:rPr>
            <w:tab/>
            <m:t xml:space="preserve">                                                      </m:t>
          </m:r>
          <m:d>
            <m:dPr>
              <m:ctrlPr>
                <w:rPr>
                  <w:rFonts w:ascii="Cambria Math" w:hAnsi="Cambria Math"/>
                </w:rPr>
              </m:ctrlPr>
            </m:dPr>
            <m:e>
              <m:r>
                <w:rPr>
                  <w:rFonts w:ascii="Cambria Math" w:hAnsi="Cambria Math"/>
                  <w:lang w:val="sv-SE"/>
                </w:rPr>
                <m:t>2</m:t>
              </m:r>
            </m:e>
          </m:d>
        </m:oMath>
      </m:oMathPara>
    </w:p>
    <w:p w14:paraId="2211529D" w14:textId="0104FD3D" w:rsidR="00E93E3E" w:rsidRDefault="00000000" w:rsidP="00BD26F1">
      <w:pPr>
        <w:pStyle w:val="FirstParagraph"/>
        <w:spacing w:before="240" w:after="0" w:line="480" w:lineRule="auto"/>
      </w:pPr>
      <w:r>
        <w:t xml:space="preserve">and the corresponding conditional variance is </w:t>
      </w:r>
      <m:oMath>
        <m:r>
          <m:rPr>
            <m:sty m:val="p"/>
          </m:rPr>
          <w:rPr>
            <w:rFonts w:ascii="Cambria Math" w:hAnsi="Cambria Math"/>
          </w:rPr>
          <m:t>Var</m:t>
        </m:r>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η</m:t>
            </m:r>
          </m:e>
        </m:d>
        <m:r>
          <m:rPr>
            <m:sty m:val="p"/>
          </m:rPr>
          <w:rPr>
            <w:rFonts w:ascii="Cambria Math" w:hAnsi="Cambria Math"/>
          </w:rPr>
          <m:t>=</m:t>
        </m:r>
        <m:r>
          <m:rPr>
            <m:sty m:val="b"/>
          </m:rPr>
          <w:rPr>
            <w:rFonts w:ascii="Cambria Math" w:hAnsi="Cambria Math"/>
          </w:rPr>
          <m:t>Θ</m:t>
        </m:r>
      </m:oMath>
      <w:r>
        <w:t>.</w:t>
      </w:r>
    </w:p>
    <w:p w14:paraId="44755E0E" w14:textId="1085146B" w:rsidR="00083CFF" w:rsidRDefault="00083CFF" w:rsidP="00BD26F1">
      <w:pPr>
        <w:pStyle w:val="BodyText"/>
        <w:spacing w:before="240" w:after="0" w:line="480" w:lineRule="auto"/>
        <w:ind w:firstLine="720"/>
      </w:pPr>
      <w:r w:rsidRPr="00083CFF">
        <w:t>The time-specific latent construct</w:t>
      </w:r>
      <w:r>
        <w:rPr>
          <w:rFonts w:hint="eastAsia"/>
          <w:lang w:eastAsia="ko-KR"/>
        </w:rPr>
        <w:t xml:space="preserve"> </w:t>
      </w:r>
      <w:r w:rsidRPr="00083CFF">
        <w:t>in the data-generating model takes the following form:</w:t>
      </w:r>
    </w:p>
    <w:p w14:paraId="11590CA0" w14:textId="01D8CE3F" w:rsidR="00E93E3E" w:rsidRPr="00083CFF" w:rsidRDefault="00714579" w:rsidP="00BD26F1">
      <w:pPr>
        <w:pStyle w:val="BodyText"/>
        <w:spacing w:before="240" w:after="0" w:line="480" w:lineRule="auto"/>
      </w:pPr>
      <m:oMathPara>
        <m:oMathParaPr>
          <m:jc m:val="center"/>
        </m:oMathParaPr>
        <m:oMath>
          <m:r>
            <m:rPr>
              <m:sty m:val="b"/>
            </m:rPr>
            <w:rPr>
              <w:rFonts w:ascii="Cambria Math" w:hAnsi="Cambria Math"/>
            </w:rPr>
            <m:t>η</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η</m:t>
                        </m:r>
                      </m:e>
                      <m:sub>
                        <m:r>
                          <w:rPr>
                            <w:rFonts w:ascii="Cambria Math" w:hAnsi="Cambria Math"/>
                          </w:rPr>
                          <m:t>1</m:t>
                        </m:r>
                      </m:sub>
                    </m:sSub>
                  </m:e>
                </m:mr>
                <m:mr>
                  <m:e>
                    <m:sSub>
                      <m:sSubPr>
                        <m:ctrlPr>
                          <w:rPr>
                            <w:rFonts w:ascii="Cambria Math" w:hAnsi="Cambria Math"/>
                          </w:rPr>
                        </m:ctrlPr>
                      </m:sSubPr>
                      <m:e>
                        <m:r>
                          <w:rPr>
                            <w:rFonts w:ascii="Cambria Math" w:hAnsi="Cambria Math"/>
                          </w:rPr>
                          <m:t>η</m:t>
                        </m:r>
                      </m:e>
                      <m:sub>
                        <m:r>
                          <w:rPr>
                            <w:rFonts w:ascii="Cambria Math" w:hAnsi="Cambria Math"/>
                          </w:rPr>
                          <m:t>2</m:t>
                        </m:r>
                      </m:sub>
                    </m:sSub>
                  </m:e>
                </m:mr>
                <m:mr>
                  <m:e>
                    <m:sSub>
                      <m:sSubPr>
                        <m:ctrlPr>
                          <w:rPr>
                            <w:rFonts w:ascii="Cambria Math" w:hAnsi="Cambria Math"/>
                          </w:rPr>
                        </m:ctrlPr>
                      </m:sSubPr>
                      <m:e>
                        <m:r>
                          <w:rPr>
                            <w:rFonts w:ascii="Cambria Math" w:hAnsi="Cambria Math"/>
                          </w:rPr>
                          <m:t>η</m:t>
                        </m:r>
                      </m:e>
                      <m:sub>
                        <m:r>
                          <w:rPr>
                            <w:rFonts w:ascii="Cambria Math" w:hAnsi="Cambria Math"/>
                          </w:rPr>
                          <m:t>3</m:t>
                        </m:r>
                      </m:sub>
                    </m:sSub>
                  </m:e>
                </m:mr>
                <m:mr>
                  <m:e>
                    <m:sSub>
                      <m:sSubPr>
                        <m:ctrlPr>
                          <w:rPr>
                            <w:rFonts w:ascii="Cambria Math" w:hAnsi="Cambria Math"/>
                          </w:rPr>
                        </m:ctrlPr>
                      </m:sSubPr>
                      <m:e>
                        <m:r>
                          <w:rPr>
                            <w:rFonts w:ascii="Cambria Math" w:hAnsi="Cambria Math"/>
                          </w:rPr>
                          <m:t>η</m:t>
                        </m:r>
                      </m:e>
                      <m:sub>
                        <m:r>
                          <w:rPr>
                            <w:rFonts w:ascii="Cambria Math" w:hAnsi="Cambria Math"/>
                          </w:rPr>
                          <m:t>4</m:t>
                        </m:r>
                      </m:sub>
                    </m:sSub>
                  </m:e>
                </m:mr>
                <m:mr>
                  <m:e>
                    <m:sSub>
                      <m:sSubPr>
                        <m:ctrlPr>
                          <w:rPr>
                            <w:rFonts w:ascii="Cambria Math" w:hAnsi="Cambria Math"/>
                          </w:rPr>
                        </m:ctrlPr>
                      </m:sSubPr>
                      <m:e>
                        <m:r>
                          <w:rPr>
                            <w:rFonts w:ascii="Cambria Math" w:hAnsi="Cambria Math"/>
                          </w:rPr>
                          <m:t>η</m:t>
                        </m:r>
                      </m:e>
                      <m:sub>
                        <m:r>
                          <w:rPr>
                            <w:rFonts w:ascii="Cambria Math" w:hAnsi="Cambria Math"/>
                          </w:rPr>
                          <m:t>5</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4</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ξ</m:t>
                        </m:r>
                      </m:e>
                      <m:sub>
                        <m:r>
                          <w:rPr>
                            <w:rFonts w:ascii="Cambria Math" w:hAnsi="Cambria Math"/>
                          </w:rPr>
                          <m:t>I</m:t>
                        </m:r>
                      </m:sub>
                    </m:sSub>
                  </m:e>
                </m:mr>
                <m:mr>
                  <m:e>
                    <m:sSub>
                      <m:sSubPr>
                        <m:ctrlPr>
                          <w:rPr>
                            <w:rFonts w:ascii="Cambria Math" w:hAnsi="Cambria Math"/>
                          </w:rPr>
                        </m:ctrlPr>
                      </m:sSubPr>
                      <m:e>
                        <m:r>
                          <w:rPr>
                            <w:rFonts w:ascii="Cambria Math" w:hAnsi="Cambria Math"/>
                          </w:rPr>
                          <m:t>ξ</m:t>
                        </m:r>
                      </m:e>
                      <m:sub>
                        <m:r>
                          <w:rPr>
                            <w:rFonts w:ascii="Cambria Math" w:hAnsi="Cambria Math"/>
                          </w:rPr>
                          <m:t>S</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ζ</m:t>
                        </m:r>
                      </m:e>
                      <m:sub>
                        <m:r>
                          <w:rPr>
                            <w:rFonts w:ascii="Cambria Math" w:hAnsi="Cambria Math"/>
                          </w:rPr>
                          <m:t>1</m:t>
                        </m:r>
                      </m:sub>
                    </m:sSub>
                  </m:e>
                </m:mr>
                <m:mr>
                  <m:e>
                    <m:sSub>
                      <m:sSubPr>
                        <m:ctrlPr>
                          <w:rPr>
                            <w:rFonts w:ascii="Cambria Math" w:hAnsi="Cambria Math"/>
                          </w:rPr>
                        </m:ctrlPr>
                      </m:sSubPr>
                      <m:e>
                        <m:r>
                          <w:rPr>
                            <w:rFonts w:ascii="Cambria Math" w:hAnsi="Cambria Math"/>
                          </w:rPr>
                          <m:t>ζ</m:t>
                        </m:r>
                      </m:e>
                      <m:sub>
                        <m:r>
                          <w:rPr>
                            <w:rFonts w:ascii="Cambria Math" w:hAnsi="Cambria Math"/>
                          </w:rPr>
                          <m:t>2</m:t>
                        </m:r>
                      </m:sub>
                    </m:sSub>
                  </m:e>
                </m:mr>
                <m:mr>
                  <m:e>
                    <m:sSub>
                      <m:sSubPr>
                        <m:ctrlPr>
                          <w:rPr>
                            <w:rFonts w:ascii="Cambria Math" w:hAnsi="Cambria Math"/>
                          </w:rPr>
                        </m:ctrlPr>
                      </m:sSubPr>
                      <m:e>
                        <m:r>
                          <w:rPr>
                            <w:rFonts w:ascii="Cambria Math" w:hAnsi="Cambria Math"/>
                          </w:rPr>
                          <m:t>ζ</m:t>
                        </m:r>
                      </m:e>
                      <m:sub>
                        <m:r>
                          <w:rPr>
                            <w:rFonts w:ascii="Cambria Math" w:hAnsi="Cambria Math"/>
                          </w:rPr>
                          <m:t>3</m:t>
                        </m:r>
                      </m:sub>
                    </m:sSub>
                  </m:e>
                </m:mr>
                <m:mr>
                  <m:e>
                    <m:sSub>
                      <m:sSubPr>
                        <m:ctrlPr>
                          <w:rPr>
                            <w:rFonts w:ascii="Cambria Math" w:hAnsi="Cambria Math"/>
                          </w:rPr>
                        </m:ctrlPr>
                      </m:sSubPr>
                      <m:e>
                        <m:r>
                          <w:rPr>
                            <w:rFonts w:ascii="Cambria Math" w:hAnsi="Cambria Math"/>
                          </w:rPr>
                          <m:t>ζ</m:t>
                        </m:r>
                      </m:e>
                      <m:sub>
                        <m:r>
                          <w:rPr>
                            <w:rFonts w:ascii="Cambria Math" w:hAnsi="Cambria Math"/>
                          </w:rPr>
                          <m:t>4</m:t>
                        </m:r>
                      </m:sub>
                    </m:sSub>
                  </m:e>
                </m:mr>
                <m:mr>
                  <m:e>
                    <m:sSub>
                      <m:sSubPr>
                        <m:ctrlPr>
                          <w:rPr>
                            <w:rFonts w:ascii="Cambria Math" w:hAnsi="Cambria Math"/>
                          </w:rPr>
                        </m:ctrlPr>
                      </m:sSubPr>
                      <m:e>
                        <m:r>
                          <w:rPr>
                            <w:rFonts w:ascii="Cambria Math" w:hAnsi="Cambria Math"/>
                          </w:rPr>
                          <m:t>ζ</m:t>
                        </m:r>
                      </m:e>
                      <m:sub>
                        <m:r>
                          <w:rPr>
                            <w:rFonts w:ascii="Cambria Math" w:hAnsi="Cambria Math"/>
                          </w:rPr>
                          <m:t>5</m:t>
                        </m:r>
                      </m:sub>
                    </m:sSub>
                  </m:e>
                </m:mr>
              </m:m>
            </m:e>
          </m:d>
          <m:r>
            <w:rPr>
              <w:rFonts w:ascii="Cambria Math" w:hAnsi="Cambria Math"/>
            </w:rPr>
            <m:t xml:space="preserve"> </m:t>
          </m:r>
          <m:r>
            <m:rPr>
              <m:sty m:val="p"/>
            </m:rPr>
            <w:rPr>
              <w:rFonts w:ascii="Cambria Math" w:hAnsi="Cambria Math"/>
            </w:rPr>
            <m:t>.</m:t>
          </m:r>
        </m:oMath>
      </m:oMathPara>
    </w:p>
    <w:p w14:paraId="20460435" w14:textId="12470891" w:rsidR="00E93E3E" w:rsidRDefault="00000000" w:rsidP="00BD26F1">
      <w:pPr>
        <w:pStyle w:val="FirstParagraph"/>
        <w:spacing w:before="240" w:after="0" w:line="480" w:lineRule="auto"/>
      </w:pPr>
      <w:r>
        <w:t>In matri</w:t>
      </w:r>
      <w:r w:rsidR="00083CFF">
        <w:rPr>
          <w:lang w:eastAsia="ko-KR"/>
        </w:rPr>
        <w:t xml:space="preserve">x </w:t>
      </w:r>
      <w:r w:rsidR="00BA0EC8">
        <w:rPr>
          <w:lang w:eastAsia="ko-KR"/>
        </w:rPr>
        <w:t>notation</w:t>
      </w:r>
      <w:r>
        <w:t>,</w:t>
      </w:r>
    </w:p>
    <w:p w14:paraId="391C33EE" w14:textId="74A8B129" w:rsidR="00E93E3E" w:rsidRPr="00941C77" w:rsidRDefault="0068072F" w:rsidP="00BD26F1">
      <w:pPr>
        <w:pStyle w:val="BodyText"/>
        <w:spacing w:before="240" w:after="0" w:line="480" w:lineRule="auto"/>
        <w:rPr>
          <w:lang w:val="sv-SE"/>
        </w:rPr>
      </w:pPr>
      <m:oMathPara>
        <m:oMathParaPr>
          <m:jc m:val="right"/>
        </m:oMathParaPr>
        <m:oMath>
          <m:r>
            <m:rPr>
              <m:sty m:val="b"/>
            </m:rPr>
            <w:rPr>
              <w:rFonts w:ascii="Cambria Math" w:hAnsi="Cambria Math"/>
            </w:rPr>
            <m:t>η</m:t>
          </m:r>
          <m:r>
            <w:rPr>
              <w:rFonts w:ascii="Cambria Math" w:hAnsi="Cambria Math"/>
            </w:rPr>
            <m:t>=</m:t>
          </m:r>
          <m:r>
            <m:rPr>
              <m:sty m:val="b"/>
            </m:rPr>
            <w:rPr>
              <w:rFonts w:ascii="Cambria Math" w:hAnsi="Cambria Math"/>
            </w:rPr>
            <m:t>Bξ</m:t>
          </m:r>
          <m:r>
            <w:rPr>
              <w:rFonts w:ascii="Cambria Math" w:hAnsi="Cambria Math"/>
            </w:rPr>
            <m:t>+</m:t>
          </m:r>
          <m:r>
            <m:rPr>
              <m:sty m:val="b"/>
            </m:rPr>
            <w:rPr>
              <w:rFonts w:ascii="Cambria Math" w:hAnsi="Cambria Math"/>
            </w:rPr>
            <m:t>ζ</m:t>
          </m:r>
          <m:r>
            <m:rPr>
              <m:sty m:val="p"/>
            </m:rPr>
            <w:rPr>
              <w:rFonts w:ascii="Cambria Math" w:hAnsi="Cambria Math"/>
              <w:lang w:val="sv-SE"/>
            </w:rPr>
            <m:t>,</m:t>
          </m:r>
          <m:r>
            <w:rPr>
              <w:rFonts w:ascii="Cambria Math" w:hAnsi="Cambria Math"/>
              <w:lang w:val="sv-SE"/>
            </w:rPr>
            <m:t xml:space="preserve">     </m:t>
          </m:r>
          <m:r>
            <w:rPr>
              <w:rFonts w:ascii="Cambria Math" w:hAnsi="Cambria Math"/>
              <w:lang w:val="sv-SE"/>
            </w:rPr>
            <m:t xml:space="preserve">                                                                    </m:t>
          </m:r>
          <m:d>
            <m:dPr>
              <m:ctrlPr>
                <w:rPr>
                  <w:rFonts w:ascii="Cambria Math" w:hAnsi="Cambria Math"/>
                </w:rPr>
              </m:ctrlPr>
            </m:dPr>
            <m:e>
              <m:r>
                <w:rPr>
                  <w:rFonts w:ascii="Cambria Math" w:hAnsi="Cambria Math"/>
                  <w:lang w:val="sv-SE"/>
                </w:rPr>
                <m:t>3</m:t>
              </m:r>
            </m:e>
          </m:d>
        </m:oMath>
      </m:oMathPara>
    </w:p>
    <w:p w14:paraId="63832D02" w14:textId="7C4C2EEF" w:rsidR="00E93E3E" w:rsidRDefault="00000000" w:rsidP="00BD26F1">
      <w:pPr>
        <w:pStyle w:val="FirstParagraph"/>
        <w:spacing w:before="240" w:after="0" w:line="480" w:lineRule="auto"/>
      </w:pPr>
      <w:r>
        <w:lastRenderedPageBreak/>
        <w:t xml:space="preserve">where </w:t>
      </w:r>
      <m:oMath>
        <m:r>
          <m:rPr>
            <m:sty m:val="b"/>
          </m:rPr>
          <w:rPr>
            <w:rFonts w:ascii="Cambria Math" w:hAnsi="Cambria Math"/>
          </w:rPr>
          <m:t>B</m:t>
        </m:r>
      </m:oMath>
      <w:r>
        <w:t xml:space="preserve"> is the </w:t>
      </w:r>
      <m:oMath>
        <m:r>
          <w:rPr>
            <w:rFonts w:ascii="Cambria Math" w:hAnsi="Cambria Math"/>
          </w:rPr>
          <m:t>T</m:t>
        </m:r>
        <m:r>
          <m:rPr>
            <m:sty m:val="p"/>
          </m:rPr>
          <w:rPr>
            <w:rFonts w:ascii="Cambria Math" w:hAnsi="Cambria Math"/>
          </w:rPr>
          <m:t>×</m:t>
        </m:r>
        <m:r>
          <w:rPr>
            <w:rFonts w:ascii="Cambria Math" w:hAnsi="Cambria Math"/>
          </w:rPr>
          <m:t>2</m:t>
        </m:r>
      </m:oMath>
      <w:r>
        <w:t xml:space="preserve"> basis matrix encoding linear growth per one-unit increase in time</w:t>
      </w:r>
      <w:r w:rsidR="001B2DE0">
        <w:rPr>
          <w:rFonts w:hint="eastAsia"/>
          <w:lang w:eastAsia="ko-KR"/>
        </w:rPr>
        <w:t xml:space="preserve">; </w:t>
      </w:r>
      <m:oMath>
        <m:r>
          <m:rPr>
            <m:sty m:val="b"/>
          </m:rPr>
          <w:rPr>
            <w:rFonts w:ascii="Cambria Math" w:hAnsi="Cambria Math"/>
          </w:rPr>
          <m:t>ξ</m:t>
        </m:r>
      </m:oMath>
      <w:r>
        <w:t xml:space="preserve"> contains the growth factors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S</m:t>
                </m:r>
              </m:sub>
            </m:sSub>
          </m:e>
        </m:d>
        <m:r>
          <m:rPr>
            <m:sty m:val="p"/>
          </m:rPr>
          <w:rPr>
            <w:rFonts w:ascii="Cambria Math" w:hAnsi="Cambria Math"/>
          </w:rPr>
          <m:t>'</m:t>
        </m:r>
      </m:oMath>
      <w:r>
        <w:t xml:space="preserve">, where the subscripts </w:t>
      </w:r>
      <m:oMath>
        <m:r>
          <w:rPr>
            <w:rFonts w:ascii="Cambria Math" w:hAnsi="Cambria Math"/>
          </w:rPr>
          <m:t>I</m:t>
        </m:r>
      </m:oMath>
      <w:r>
        <w:t xml:space="preserve"> and </w:t>
      </w:r>
      <m:oMath>
        <m:r>
          <w:rPr>
            <w:rFonts w:ascii="Cambria Math" w:hAnsi="Cambria Math"/>
          </w:rPr>
          <m:t>S</m:t>
        </m:r>
      </m:oMath>
      <w:r>
        <w:t xml:space="preserve"> refer to the</w:t>
      </w:r>
      <w:r w:rsidR="001E0C7E">
        <w:t xml:space="preserve"> growth</w:t>
      </w:r>
      <w:r>
        <w:t xml:space="preserve"> intercept and slope, respectively; and </w:t>
      </w:r>
      <m:oMath>
        <m:r>
          <m:rPr>
            <m:sty m:val="b"/>
          </m:rPr>
          <w:rPr>
            <w:rFonts w:ascii="Cambria Math" w:hAnsi="Cambria Math"/>
          </w:rPr>
          <m:t>ζ</m:t>
        </m:r>
      </m:oMath>
      <w:r>
        <w:t xml:space="preserve"> is a vector of disturbanc</w:t>
      </w:r>
      <w:r w:rsidR="0028218D">
        <w:t>es</w:t>
      </w:r>
      <w:r>
        <w:t xml:space="preserve">. </w:t>
      </w:r>
      <w:r w:rsidR="00E652DE">
        <w:t xml:space="preserve">Throughout this paper, we treat </w:t>
      </w:r>
      <m:oMath>
        <m:r>
          <m:rPr>
            <m:sty m:val="b"/>
          </m:rPr>
          <w:rPr>
            <w:rFonts w:ascii="Cambria Math" w:hAnsi="Cambria Math"/>
          </w:rPr>
          <m:t>B</m:t>
        </m:r>
      </m:oMath>
      <w:r w:rsidR="00E652DE">
        <w:t xml:space="preserve"> as a fixed linear basis of known time </w:t>
      </w:r>
      <w:r w:rsidR="00E652DE">
        <w:t>scores</w:t>
      </w:r>
      <w:r w:rsidR="00E652DE">
        <w:t xml:space="preserve">. </w:t>
      </w:r>
      <w:r>
        <w:t>The vector of latent factor intercepts is not included here</w:t>
      </w:r>
      <w:r w:rsidR="0028218D">
        <w:t xml:space="preserve"> </w:t>
      </w:r>
      <w:r>
        <w:t>because it is</w:t>
      </w:r>
      <w:r w:rsidR="0028218D">
        <w:t xml:space="preserve"> typically</w:t>
      </w:r>
      <w:r>
        <w:t xml:space="preserve"> fixed at zero (Yang et al., 2021).</w:t>
      </w:r>
      <w:r w:rsidR="0028218D">
        <w:t xml:space="preserve"> </w:t>
      </w:r>
      <w:r>
        <w:t>The mean and covariance matrix of latent factors are then</w:t>
      </w:r>
    </w:p>
    <w:p w14:paraId="71291F4F" w14:textId="319235E3" w:rsidR="00E93E3E" w:rsidRPr="00501C34" w:rsidRDefault="00000000" w:rsidP="00BD26F1">
      <w:pPr>
        <w:pStyle w:val="BodyText"/>
        <w:spacing w:before="240" w:after="0" w:line="480" w:lineRule="auto"/>
        <w:rPr>
          <w:lang w:val="sv-SE"/>
        </w:rPr>
      </w:pPr>
      <m:oMathPara>
        <m:oMathParaPr>
          <m:jc m:val="center"/>
        </m:oMathParaPr>
        <m:oMath>
          <m:r>
            <m:rPr>
              <m:sty m:val="p"/>
            </m:rPr>
            <w:rPr>
              <w:rFonts w:ascii="Cambria Math" w:hAnsi="Cambria Math"/>
              <w:lang w:val="sv-SE"/>
            </w:rPr>
            <m:t>E</m:t>
          </m:r>
          <m:d>
            <m:dPr>
              <m:begChr m:val="["/>
              <m:endChr m:val="]"/>
              <m:ctrlPr>
                <w:rPr>
                  <w:rFonts w:ascii="Cambria Math" w:hAnsi="Cambria Math"/>
                </w:rPr>
              </m:ctrlPr>
            </m:dPr>
            <m:e>
              <m:r>
                <m:rPr>
                  <m:sty m:val="b"/>
                </m:rPr>
                <w:rPr>
                  <w:rFonts w:ascii="Cambria Math" w:hAnsi="Cambria Math"/>
                </w:rPr>
                <m:t>η</m:t>
              </m:r>
            </m:e>
          </m:d>
          <m:r>
            <m:rPr>
              <m:sty m:val="p"/>
            </m:rPr>
            <w:rPr>
              <w:rFonts w:ascii="Cambria Math" w:hAnsi="Cambria Math"/>
              <w:lang w:val="sv-SE"/>
            </w:rPr>
            <m:t>=</m:t>
          </m:r>
          <m:r>
            <m:rPr>
              <m:sty m:val="b"/>
            </m:rPr>
            <w:rPr>
              <w:rFonts w:ascii="Cambria Math" w:hAnsi="Cambria Math"/>
            </w:rPr>
            <m:t>B</m:t>
          </m:r>
          <m:r>
            <m:rPr>
              <m:sty m:val="b"/>
            </m:rPr>
            <w:rPr>
              <w:rFonts w:ascii="Cambria Math" w:hAnsi="Cambria Math"/>
              <w:lang w:val="sv-SE"/>
            </w:rPr>
            <m:t>κ</m:t>
          </m:r>
          <m:r>
            <m:rPr>
              <m:sty m:val="p"/>
            </m:rPr>
            <w:rPr>
              <w:rFonts w:ascii="Cambria Math" w:hAnsi="Cambria Math"/>
              <w:lang w:val="sv-SE"/>
            </w:rPr>
            <m:t>,</m:t>
          </m:r>
          <m:r>
            <m:rPr>
              <m:sty m:val="p"/>
            </m:rPr>
            <w:rPr>
              <w:rFonts w:ascii="Cambria Math" w:hAnsi="Cambria Math"/>
              <w:lang w:val="sv-SE"/>
            </w:rPr>
            <m:t xml:space="preserve">  </m:t>
          </m:r>
          <m:r>
            <m:rPr>
              <m:sty m:val="p"/>
            </m:rPr>
            <w:rPr>
              <w:rFonts w:ascii="Cambria Math" w:hAnsi="Cambria Math"/>
              <w:lang w:val="sv-SE"/>
            </w:rPr>
            <m:t>Var</m:t>
          </m:r>
          <m:d>
            <m:dPr>
              <m:begChr m:val="["/>
              <m:endChr m:val="]"/>
              <m:ctrlPr>
                <w:rPr>
                  <w:rFonts w:ascii="Cambria Math" w:hAnsi="Cambria Math"/>
                </w:rPr>
              </m:ctrlPr>
            </m:dPr>
            <m:e>
              <m:r>
                <m:rPr>
                  <m:sty m:val="b"/>
                </m:rPr>
                <w:rPr>
                  <w:rFonts w:ascii="Cambria Math" w:hAnsi="Cambria Math"/>
                </w:rPr>
                <m:t>η</m:t>
              </m:r>
            </m:e>
          </m:d>
          <m:r>
            <m:rPr>
              <m:sty m:val="p"/>
            </m:rPr>
            <w:rPr>
              <w:rFonts w:ascii="Cambria Math" w:hAnsi="Cambria Math"/>
              <w:lang w:val="sv-SE"/>
            </w:rPr>
            <m:t>=</m:t>
          </m:r>
          <m:r>
            <m:rPr>
              <m:sty m:val="b"/>
            </m:rPr>
            <w:rPr>
              <w:rFonts w:ascii="Cambria Math" w:hAnsi="Cambria Math"/>
            </w:rPr>
            <m:t>BΦB</m:t>
          </m:r>
          <m:r>
            <m:rPr>
              <m:sty m:val="p"/>
            </m:rPr>
            <w:rPr>
              <w:rFonts w:ascii="Cambria Math" w:hAnsi="Cambria Math"/>
              <w:lang w:val="sv-SE"/>
            </w:rPr>
            <m:t>'+</m:t>
          </m:r>
          <m:r>
            <m:rPr>
              <m:sty m:val="b"/>
            </m:rPr>
            <w:rPr>
              <w:rFonts w:ascii="Cambria Math" w:hAnsi="Cambria Math"/>
            </w:rPr>
            <m:t>Ψ</m:t>
          </m:r>
          <m:r>
            <m:rPr>
              <m:sty m:val="p"/>
            </m:rPr>
            <w:rPr>
              <w:rFonts w:ascii="Cambria Math" w:hAnsi="Cambria Math"/>
              <w:lang w:val="sv-SE"/>
            </w:rPr>
            <m:t>,</m:t>
          </m:r>
        </m:oMath>
      </m:oMathPara>
    </w:p>
    <w:p w14:paraId="51A30D2A" w14:textId="6CE249FE" w:rsidR="00E93E3E" w:rsidRDefault="00000000" w:rsidP="00BD26F1">
      <w:pPr>
        <w:pStyle w:val="FirstParagraph"/>
        <w:spacing w:before="240" w:after="0" w:line="480" w:lineRule="auto"/>
      </w:pPr>
      <w:r>
        <w:t xml:space="preserve">where </w:t>
      </w:r>
      <m:oMath>
        <m:r>
          <m:rPr>
            <m:sty m:val="b"/>
          </m:rPr>
          <w:rPr>
            <w:rFonts w:ascii="Cambria Math" w:hAnsi="Cambria Math"/>
          </w:rPr>
          <m:t>κ</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S</m:t>
                </m:r>
              </m:sub>
            </m:sSub>
          </m:e>
        </m:d>
        <m:r>
          <m:rPr>
            <m:sty m:val="p"/>
          </m:rPr>
          <w:rPr>
            <w:rFonts w:ascii="Cambria Math" w:hAnsi="Cambria Math"/>
          </w:rPr>
          <m:t>'</m:t>
        </m:r>
      </m:oMath>
      <w:r w:rsidR="0028218D">
        <w:t xml:space="preserve"> </w:t>
      </w:r>
      <w:r w:rsidR="00DF4A7D" w:rsidRPr="00DF4A7D">
        <w:rPr>
          <w:lang w:eastAsia="ko-KR"/>
        </w:rPr>
        <w:t xml:space="preserve">is the mean vector of the growth factors, </w:t>
      </w:r>
      <m:oMath>
        <m:r>
          <m:rPr>
            <m:sty m:val="b"/>
          </m:rPr>
          <w:rPr>
            <w:rFonts w:ascii="Cambria Math" w:hAnsi="Cambria Math"/>
          </w:rPr>
          <m:t>Φ</m:t>
        </m:r>
      </m:oMath>
      <w:r w:rsidR="00DF4A7D" w:rsidRPr="00DF4A7D">
        <w:rPr>
          <w:lang w:eastAsia="ko-KR"/>
        </w:rPr>
        <w:t xml:space="preserve"> is their </w:t>
      </w:r>
      <m:oMath>
        <m:r>
          <w:rPr>
            <w:rFonts w:ascii="Cambria Math" w:hAnsi="Cambria Math"/>
          </w:rPr>
          <m:t>2×2</m:t>
        </m:r>
      </m:oMath>
      <w:r w:rsidR="00DF4A7D">
        <w:rPr>
          <w:rFonts w:hint="eastAsia"/>
          <w:lang w:eastAsia="ko-KR"/>
        </w:rPr>
        <w:t xml:space="preserve"> </w:t>
      </w:r>
      <w:r w:rsidR="00DF4A7D" w:rsidRPr="00DF4A7D">
        <w:rPr>
          <w:lang w:eastAsia="ko-KR"/>
        </w:rPr>
        <w:t xml:space="preserve">covariance matrix, and </w:t>
      </w:r>
      <m:oMath>
        <m:r>
          <m:rPr>
            <m:sty m:val="b"/>
          </m:rPr>
          <w:rPr>
            <w:rFonts w:ascii="Cambria Math" w:hAnsi="Cambria Math"/>
          </w:rPr>
          <m:t>Ψ</m:t>
        </m:r>
      </m:oMath>
      <w:r w:rsidR="00DF4A7D" w:rsidRPr="00DF4A7D">
        <w:rPr>
          <w:lang w:eastAsia="ko-KR"/>
        </w:rPr>
        <w:t xml:space="preserve"> is a </w:t>
      </w:r>
      <m:oMath>
        <m:r>
          <w:rPr>
            <w:rFonts w:ascii="Cambria Math" w:hAnsi="Cambria Math"/>
          </w:rPr>
          <m:t>T×T</m:t>
        </m:r>
      </m:oMath>
      <w:r w:rsidR="00DF4A7D" w:rsidRPr="00DF4A7D">
        <w:rPr>
          <w:lang w:eastAsia="ko-KR"/>
        </w:rPr>
        <w:t xml:space="preserve"> diagonal covariance matrix of the disturbances, reflecting the assumption that disturbances are uncorrelated over time</w:t>
      </w:r>
      <w:r w:rsidR="00427484" w:rsidRPr="00427484">
        <w:rPr>
          <w:lang w:eastAsia="ko-KR"/>
        </w:rPr>
        <w:t>.</w:t>
      </w:r>
      <w:r w:rsidR="00427484">
        <w:rPr>
          <w:rFonts w:hint="eastAsia"/>
          <w:lang w:eastAsia="ko-KR"/>
        </w:rPr>
        <w:t xml:space="preserve"> </w:t>
      </w:r>
      <w:r>
        <w:t xml:space="preserve">The path diagram of 2-LGCM is provided at Figure </w:t>
      </w:r>
      <w:r w:rsidR="001E0C7E">
        <w:t>1</w:t>
      </w:r>
      <w:r>
        <w:t>.</w:t>
      </w:r>
    </w:p>
    <w:p w14:paraId="773CDAA6" w14:textId="782BD293" w:rsidR="00E93E3E" w:rsidRPr="00BD26F1" w:rsidRDefault="00000000" w:rsidP="00BD26F1">
      <w:pPr>
        <w:pStyle w:val="Heading2"/>
        <w:spacing w:before="360" w:after="60" w:line="360" w:lineRule="auto"/>
        <w:ind w:right="562"/>
        <w:rPr>
          <w:b/>
          <w:bCs/>
        </w:rPr>
      </w:pPr>
      <w:bookmarkStart w:id="4" w:name="Xbdf8438e9b2324ac6bf4b04983b64c735aaebbf"/>
      <w:bookmarkEnd w:id="3"/>
      <w:r w:rsidRPr="00BD26F1">
        <w:rPr>
          <w:b/>
          <w:bCs/>
        </w:rPr>
        <w:t xml:space="preserve">2.2 </w:t>
      </w:r>
      <w:r w:rsidR="00CA3F83" w:rsidRPr="00BD26F1">
        <w:rPr>
          <w:b/>
          <w:bCs/>
        </w:rPr>
        <w:t>Sum-Score First-Order LGCM: Specification and What It Estimates</w:t>
      </w:r>
    </w:p>
    <w:p w14:paraId="45975C88" w14:textId="01AAC761" w:rsidR="00E93E3E" w:rsidRDefault="00000000" w:rsidP="00BD26F1">
      <w:pPr>
        <w:pStyle w:val="FirstParagraph"/>
        <w:spacing w:before="240" w:after="0" w:line="480" w:lineRule="auto"/>
      </w:pPr>
      <w:r>
        <w:t xml:space="preserve">While the 2-LGCM fits the trajectory to the latent factor measured by indicators at each time point, 1-LGCM directly models growth trajectory at the level of observed </w:t>
      </w:r>
      <w:r w:rsidR="00DD2C3F">
        <w:t>variables</w:t>
      </w:r>
      <w:r>
        <w:t xml:space="preserve">. The sum score at time </w:t>
      </w:r>
      <m:oMath>
        <m:r>
          <w:rPr>
            <w:rFonts w:ascii="Cambria Math" w:hAnsi="Cambria Math"/>
          </w:rPr>
          <m:t>t</m:t>
        </m:r>
      </m:oMath>
      <w:r>
        <w:t xml:space="preserve"> is created by aggregating the indicators from </w:t>
      </w:r>
      <w:r w:rsidR="00696EDF">
        <w:rPr>
          <w:lang w:eastAsia="ko-KR"/>
        </w:rPr>
        <w:t xml:space="preserve">the </w:t>
      </w:r>
      <w:r>
        <w:t xml:space="preserve">generating model </w:t>
      </w:r>
      <w:r w:rsidR="00BE3085">
        <w:t xml:space="preserve">using </w:t>
      </w:r>
      <w:r w:rsidR="00DD2C3F">
        <w:t>E</w:t>
      </w:r>
      <w:r w:rsidR="00BE3085">
        <w:t>quation</w:t>
      </w:r>
      <w:r>
        <w:t xml:space="preserve"> (1) as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y</m:t>
                </m:r>
              </m:e>
              <m:sub>
                <m:r>
                  <w:rPr>
                    <w:rFonts w:ascii="Cambria Math" w:hAnsi="Cambria Math"/>
                  </w:rPr>
                  <m:t>it</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it</m:t>
                    </m:r>
                  </m:sub>
                </m:sSub>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e>
            </m:d>
          </m:e>
        </m:nary>
      </m:oMath>
      <w:r>
        <w:t>.</w:t>
      </w:r>
      <w:r w:rsidR="004C6A32">
        <w:t xml:space="preserve"> </w:t>
      </w:r>
      <w:r>
        <w:t xml:space="preserve">For </w:t>
      </w:r>
      <w:r w:rsidR="004C6A32">
        <w:t xml:space="preserve">the </w:t>
      </w:r>
      <w:r>
        <w:t>notational convenience, define</w:t>
      </w:r>
    </w:p>
    <w:p w14:paraId="47277330" w14:textId="0B6C080E" w:rsidR="00AA0501" w:rsidRPr="00AA0501" w:rsidRDefault="00AA0501" w:rsidP="00BD26F1">
      <w:pPr>
        <w:pStyle w:val="BodyText"/>
        <w:spacing w:before="240" w:after="0" w:line="480" w:lineRule="auto"/>
        <w:jc w:val="right"/>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τ</m:t>
                </m:r>
              </m:e>
              <m:sub>
                <m:r>
                  <w:rPr>
                    <w:rFonts w:ascii="Cambria Math" w:hAnsi="Cambria Math"/>
                  </w:rPr>
                  <m:t>it</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λ</m:t>
                </m:r>
              </m:e>
              <m:sub>
                <m:r>
                  <w:rPr>
                    <w:rFonts w:ascii="Cambria Math" w:hAnsi="Cambria Math"/>
                  </w:rPr>
                  <m:t>it</m:t>
                </m:r>
              </m:sub>
            </m:sSub>
          </m:e>
        </m:nary>
        <m:r>
          <w:rPr>
            <w:rFonts w:ascii="Cambria Math" w:hAnsi="Cambria Math"/>
          </w:rPr>
          <m:t xml:space="preserve"> .</m:t>
        </m:r>
        <m:r>
          <w:rPr>
            <w:rFonts w:ascii="Cambria Math" w:hAnsi="Cambria Math"/>
          </w:rPr>
          <m:t xml:space="preserve">                                                     (4)</m:t>
        </m:r>
      </m:oMath>
      <w:r>
        <w:t xml:space="preserve"> </w:t>
      </w:r>
    </w:p>
    <w:p w14:paraId="6D1DDD01" w14:textId="75F6D1EC" w:rsidR="00E93E3E" w:rsidRDefault="00000000" w:rsidP="00BD26F1">
      <w:pPr>
        <w:pStyle w:val="FirstParagraph"/>
        <w:spacing w:before="240" w:after="0" w:line="480" w:lineRule="auto"/>
      </w:pPr>
      <w:r w:rsidRPr="00D45E38">
        <w:t>The sum score</w:t>
      </w:r>
      <w:r w:rsidR="001F0C7A">
        <w:t xml:space="preserve"> then</w:t>
      </w:r>
      <w:r w:rsidRPr="00D45E38">
        <w:t xml:space="preserve"> can be </w:t>
      </w:r>
      <w:r w:rsidR="00E42E8E">
        <w:t>expressed</w:t>
      </w:r>
      <w:r w:rsidRPr="00D45E38">
        <w:t xml:space="preserve"> as</w:t>
      </w:r>
    </w:p>
    <w:p w14:paraId="44A66606" w14:textId="52FCEADC" w:rsidR="00AA0501" w:rsidRPr="00AA0501" w:rsidRDefault="00AA0501" w:rsidP="00BD26F1">
      <w:pPr>
        <w:pStyle w:val="BodyText"/>
        <w:spacing w:before="240" w:after="0" w:line="480" w:lineRule="auto"/>
        <w:jc w:val="right"/>
      </w:p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ε</m:t>
                </m:r>
              </m:e>
              <m:sub>
                <m:r>
                  <w:rPr>
                    <w:rFonts w:ascii="Cambria Math" w:hAnsi="Cambria Math"/>
                  </w:rPr>
                  <m:t>it</m:t>
                </m:r>
              </m:sub>
            </m:sSub>
          </m:e>
        </m:nary>
        <m:r>
          <w:rPr>
            <w:rFonts w:ascii="Cambria Math" w:hAnsi="Cambria Math"/>
          </w:rPr>
          <m:t>.</m:t>
        </m:r>
        <m:r>
          <w:rPr>
            <w:rFonts w:ascii="Cambria Math" w:hAnsi="Cambria Math"/>
          </w:rPr>
          <m:t xml:space="preserve">                                                               (5</m:t>
        </m:r>
        <m:r>
          <w:rPr>
            <w:rFonts w:ascii="Cambria Math" w:hAnsi="Cambria Math"/>
          </w:rPr>
          <m:t>)</m:t>
        </m:r>
      </m:oMath>
      <w:r>
        <w:t xml:space="preserve"> </w:t>
      </w:r>
    </w:p>
    <w:p w14:paraId="01CAC13D" w14:textId="5FDD7D51" w:rsidR="00E93E3E" w:rsidRDefault="00A16115" w:rsidP="00BD26F1">
      <w:pPr>
        <w:pStyle w:val="FirstParagraph"/>
        <w:spacing w:before="240" w:after="0" w:line="480" w:lineRule="auto"/>
      </w:pPr>
      <w:r w:rsidRPr="00A16115">
        <w:lastRenderedPageBreak/>
        <w:t>Equation (5) describe</w:t>
      </w:r>
      <w:r w:rsidR="00FC52C5">
        <w:t>s</w:t>
      </w:r>
      <w:r w:rsidRPr="00A16115">
        <w:t xml:space="preserve"> what the sum score is under the generating model, with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A16115">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A16115">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lang w:eastAsia="ko-KR"/>
        </w:rPr>
        <w:t xml:space="preserve"> </w:t>
      </w:r>
      <w:r w:rsidR="006D6282" w:rsidRPr="006D6282">
        <w:t>inherited from the measurement model in (1)</w:t>
      </w:r>
      <w:r w:rsidRPr="00A16115">
        <w:t>. A researcher analyzing sum scores, however,</w:t>
      </w:r>
      <w:r>
        <w:t xml:space="preserve"> cannot</w:t>
      </w:r>
      <w:r w:rsidRPr="00A16115">
        <w:t xml:space="preserve"> observe this decomposition. Instead, they fit a </w:t>
      </w:r>
      <w:r>
        <w:t>1-</w:t>
      </w:r>
      <w:r w:rsidRPr="00A16115">
        <w:t>LGCM directly to</w:t>
      </w:r>
      <w:r w:rsidR="00855AED" w:rsidRPr="00855AED">
        <w:rPr>
          <w:rFonts w:ascii="Cambria Math" w:hAnsi="Cambria Math"/>
          <w:b/>
        </w:rPr>
        <w:t xml:space="preserve"> </w:t>
      </w:r>
      <m:oMath>
        <m:r>
          <m:rPr>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oMath>
      <w:r w:rsidRPr="00A16115">
        <w:t>, treating each sum score as the manifest outcome of its own growth process:</w:t>
      </w:r>
    </w:p>
    <w:p w14:paraId="5A63EC3E" w14:textId="36C9DF69" w:rsidR="00E93E3E" w:rsidRDefault="00000000" w:rsidP="00BD26F1">
      <w:pPr>
        <w:pStyle w:val="BodyText"/>
        <w:spacing w:before="240" w:after="0" w:line="480" w:lineRule="auto"/>
      </w:pPr>
      <m:oMathPara>
        <m:oMathParaPr>
          <m:jc m:val="center"/>
        </m:oMathParaPr>
        <m:oMath>
          <m:r>
            <m:rPr>
              <m:sty m:val="b"/>
            </m:rPr>
            <w:rPr>
              <w:rFonts w:ascii="Cambria Math" w:hAnsi="Cambria Math"/>
            </w:rPr>
            <m:t>S</m:t>
          </m:r>
          <m:r>
            <m:rPr>
              <m:sty m:val="p"/>
            </m:rPr>
            <w:rPr>
              <w:rFonts w:ascii="Cambria Math" w:hAnsi="Cambria Math"/>
            </w:rPr>
            <m:t>=</m:t>
          </m:r>
          <m:r>
            <m:rPr>
              <m:sty m:val="b"/>
            </m:rPr>
            <w:rPr>
              <w:rFonts w:ascii="Cambria Math" w:hAnsi="Cambria Math"/>
            </w:rPr>
            <m:t>B</m:t>
          </m:r>
          <m:r>
            <w:rPr>
              <w:rFonts w:ascii="Cambria Math" w:hAnsi="Cambria Math"/>
            </w:rPr>
            <m:t> </m:t>
          </m:r>
          <m:sSup>
            <m:sSupPr>
              <m:ctrlPr>
                <w:rPr>
                  <w:rFonts w:ascii="Cambria Math" w:hAnsi="Cambria Math"/>
                </w:rPr>
              </m:ctrlPr>
            </m:sSupPr>
            <m:e>
              <m:r>
                <m:rPr>
                  <m:sty m:val="b"/>
                </m:rPr>
                <w:rPr>
                  <w:rFonts w:ascii="Cambria Math" w:hAnsi="Cambria Math"/>
                </w:rPr>
                <m:t>ξ</m:t>
              </m:r>
            </m:e>
            <m:sup>
              <m:r>
                <m:rPr>
                  <m:nor/>
                </m:rPr>
                <w:rPr>
                  <w:rFonts w:ascii="Cambria Math" w:hAnsi="Cambria Math"/>
                  <w:iCs/>
                </w:rPr>
                <m:t>(</m:t>
              </m:r>
              <m:r>
                <m:rPr>
                  <m:nor/>
                </m:rPr>
                <w:rPr>
                  <w:rFonts w:ascii="Cambria Math" w:hAnsi="Cambria Math"/>
                  <w:iCs/>
                </w:rPr>
                <m:t>sum</m:t>
              </m:r>
              <m:r>
                <m:rPr>
                  <m:nor/>
                </m:rPr>
                <w:rPr>
                  <w:rFonts w:ascii="Cambria Math" w:hAnsi="Cambria Math"/>
                  <w:iCs/>
                </w:rPr>
                <m:t>)</m:t>
              </m:r>
            </m:sup>
          </m:sSup>
          <m:r>
            <m:rPr>
              <m:sty m:val="p"/>
            </m:rPr>
            <w:rPr>
              <w:rFonts w:ascii="Cambria Math" w:hAnsi="Cambria Math"/>
            </w:rPr>
            <m:t>+</m:t>
          </m:r>
          <m:r>
            <m:rPr>
              <m:sty m:val="b"/>
            </m:rPr>
            <w:rPr>
              <w:rFonts w:ascii="Cambria Math" w:hAnsi="Cambria Math"/>
            </w:rPr>
            <m:t>e</m:t>
          </m:r>
          <m:r>
            <w:rPr>
              <w:rFonts w:ascii="Cambria Math" w:hAnsi="Cambria Math"/>
            </w:rPr>
            <m:t> </m:t>
          </m:r>
          <m:r>
            <m:rPr>
              <m:sty m:val="p"/>
            </m:rPr>
            <w:rPr>
              <w:rFonts w:ascii="Cambria Math" w:hAnsi="Cambria Math"/>
            </w:rPr>
            <m:t>,</m:t>
          </m:r>
        </m:oMath>
      </m:oMathPara>
    </w:p>
    <w:p w14:paraId="7079816A" w14:textId="77777777" w:rsidR="001F0C7A" w:rsidRDefault="00000000" w:rsidP="00BD26F1">
      <w:pPr>
        <w:pStyle w:val="FirstParagraph"/>
        <w:spacing w:before="240" w:after="0" w:line="480" w:lineRule="auto"/>
      </w:pPr>
      <w:r>
        <w:t xml:space="preserve">where </w:t>
      </w:r>
      <m:oMath>
        <m:r>
          <m:rPr>
            <m:sty m:val="b"/>
          </m:rPr>
          <w:rPr>
            <w:rFonts w:ascii="Cambria Math" w:hAnsi="Cambria Math"/>
          </w:rPr>
          <m:t>B</m:t>
        </m:r>
      </m:oMath>
      <w:r>
        <w:t xml:space="preserve"> is the</w:t>
      </w:r>
      <w:r w:rsidR="00A16115">
        <w:t xml:space="preserve"> </w:t>
      </w:r>
      <w:r>
        <w:t xml:space="preserve">linear basis matrix identical to (3), </w:t>
      </w:r>
      <m:oMath>
        <m:sSup>
          <m:sSupPr>
            <m:ctrlPr>
              <w:rPr>
                <w:rFonts w:ascii="Cambria Math" w:hAnsi="Cambria Math"/>
              </w:rPr>
            </m:ctrlPr>
          </m:sSupPr>
          <m:e>
            <m:r>
              <m:rPr>
                <m:sty m:val="b"/>
              </m:rPr>
              <w:rPr>
                <w:rFonts w:ascii="Cambria Math" w:hAnsi="Cambria Math"/>
              </w:rPr>
              <m:t>ξ</m:t>
            </m:r>
          </m:e>
          <m:sup>
            <m:r>
              <m:rPr>
                <m:nor/>
              </m:rPr>
              <w:rPr>
                <w:rFonts w:ascii="Cambria Math" w:hAnsi="Cambria Math"/>
                <w:iCs/>
              </w:rPr>
              <m:t>(</m:t>
            </m:r>
            <m:r>
              <m:rPr>
                <m:nor/>
              </m:rPr>
              <w:rPr>
                <w:rFonts w:ascii="Cambria Math" w:hAnsi="Cambria Math"/>
                <w:iCs/>
              </w:rPr>
              <m:t>sum</m:t>
            </m:r>
            <m:r>
              <m:rPr>
                <m:nor/>
              </m:rPr>
              <w:rPr>
                <w:rFonts w:ascii="Cambria Math" w:hAnsi="Cambria Math"/>
                <w:iCs/>
              </w:rPr>
              <m:t>)</m:t>
            </m:r>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ξ</m:t>
                </m:r>
              </m:e>
              <m:sub>
                <m:r>
                  <w:rPr>
                    <w:rFonts w:ascii="Cambria Math" w:hAnsi="Cambria Math"/>
                  </w:rPr>
                  <m:t>I</m:t>
                </m:r>
              </m:sub>
              <m:sup>
                <m:r>
                  <m:rPr>
                    <m:nor/>
                  </m:rPr>
                  <w:rPr>
                    <w:rFonts w:ascii="Cambria Math" w:hAnsi="Cambria Math"/>
                    <w:iCs/>
                  </w:rPr>
                  <m:t>(</m:t>
                </m:r>
                <m:r>
                  <m:rPr>
                    <m:nor/>
                  </m:rPr>
                  <w:rPr>
                    <w:rFonts w:ascii="Cambria Math" w:hAnsi="Cambria Math"/>
                    <w:iCs/>
                  </w:rPr>
                  <m:t>sum</m:t>
                </m:r>
                <m:r>
                  <m:rPr>
                    <m:nor/>
                  </m:rPr>
                  <w:rPr>
                    <w:rFonts w:ascii="Cambria Math" w:hAnsi="Cambria Math"/>
                    <w:iCs/>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ξ</m:t>
                </m:r>
              </m:e>
              <m:sub>
                <m:r>
                  <w:rPr>
                    <w:rFonts w:ascii="Cambria Math" w:hAnsi="Cambria Math"/>
                  </w:rPr>
                  <m:t>S</m:t>
                </m:r>
              </m:sub>
              <m:sup>
                <m:r>
                  <m:rPr>
                    <m:nor/>
                  </m:rPr>
                  <w:rPr>
                    <w:rFonts w:ascii="Cambria Math" w:hAnsi="Cambria Math"/>
                    <w:iCs/>
                  </w:rPr>
                  <m:t>(</m:t>
                </m:r>
                <m:r>
                  <m:rPr>
                    <m:nor/>
                  </m:rPr>
                  <w:rPr>
                    <w:rFonts w:ascii="Cambria Math" w:hAnsi="Cambria Math"/>
                    <w:iCs/>
                  </w:rPr>
                  <m:t>sum</m:t>
                </m:r>
                <m:r>
                  <m:rPr>
                    <m:nor/>
                  </m:rPr>
                  <w:rPr>
                    <w:rFonts w:ascii="Cambria Math" w:hAnsi="Cambria Math"/>
                    <w:iCs/>
                  </w:rPr>
                  <m:t>)</m:t>
                </m:r>
              </m:sup>
            </m:sSubSup>
          </m:e>
        </m:d>
        <m:r>
          <m:rPr>
            <m:sty m:val="p"/>
          </m:rPr>
          <w:rPr>
            <w:rFonts w:ascii="Cambria Math" w:hAnsi="Cambria Math"/>
          </w:rPr>
          <m:t>'</m:t>
        </m:r>
      </m:oMath>
      <w:r>
        <w:t xml:space="preserve"> contains the growth intercept and slope factors of the </w:t>
      </w:r>
      <w:r w:rsidR="00A16115">
        <w:t>sum-score 1-LGCM</w:t>
      </w:r>
      <w:r>
        <w:t xml:space="preserve">, and </w:t>
      </w:r>
      <m:oMath>
        <m:r>
          <m:rPr>
            <m:sty m:val="b"/>
          </m:rPr>
          <w:rPr>
            <w:rFonts w:ascii="Cambria Math" w:hAnsi="Cambria Math"/>
          </w:rPr>
          <m:t>e</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oMath>
      <w:r>
        <w:t xml:space="preserve"> is the residual vector with </w:t>
      </w:r>
      <m:oMath>
        <m:r>
          <m:rPr>
            <m:sty m:val="p"/>
          </m:rPr>
          <w:rPr>
            <w:rFonts w:ascii="Cambria Math" w:hAnsi="Cambria Math"/>
          </w:rPr>
          <m:t>E</m:t>
        </m:r>
        <m:d>
          <m:dPr>
            <m:begChr m:val="["/>
            <m:endChr m:val="]"/>
            <m:ctrlPr>
              <w:rPr>
                <w:rFonts w:ascii="Cambria Math" w:hAnsi="Cambria Math"/>
              </w:rPr>
            </m:ctrlPr>
          </m:dPr>
          <m:e>
            <m:r>
              <m:rPr>
                <m:sty m:val="b"/>
              </m:rPr>
              <w:rPr>
                <w:rFonts w:ascii="Cambria Math" w:hAnsi="Cambria Math"/>
              </w:rPr>
              <m:t>e</m:t>
            </m:r>
          </m:e>
        </m:d>
        <m:r>
          <m:rPr>
            <m:sty m:val="p"/>
          </m:rPr>
          <w:rPr>
            <w:rFonts w:ascii="Cambria Math" w:hAnsi="Cambria Math"/>
          </w:rPr>
          <m:t>=</m:t>
        </m:r>
        <m:r>
          <m:rPr>
            <m:sty m:val="b"/>
          </m:rPr>
          <w:rPr>
            <w:rFonts w:ascii="Cambria Math" w:hAnsi="Cambria Math"/>
          </w:rPr>
          <m:t>0</m:t>
        </m:r>
      </m:oMath>
      <w:r>
        <w:t xml:space="preserve"> and </w:t>
      </w:r>
      <m:oMath>
        <m:r>
          <m:rPr>
            <m:sty m:val="p"/>
          </m:rPr>
          <w:rPr>
            <w:rFonts w:ascii="Cambria Math" w:hAnsi="Cambria Math"/>
          </w:rPr>
          <m:t>Var</m:t>
        </m:r>
        <m:d>
          <m:dPr>
            <m:begChr m:val="["/>
            <m:endChr m:val="]"/>
            <m:ctrlPr>
              <w:rPr>
                <w:rFonts w:ascii="Cambria Math" w:hAnsi="Cambria Math"/>
              </w:rPr>
            </m:ctrlPr>
          </m:dPr>
          <m:e>
            <m:r>
              <m:rPr>
                <m:sty m:val="b"/>
              </m:rPr>
              <w:rPr>
                <w:rFonts w:ascii="Cambria Math" w:hAnsi="Cambria Math"/>
              </w:rPr>
              <m:t>e</m:t>
            </m:r>
          </m:e>
        </m:d>
        <m:r>
          <m:rPr>
            <m:sty m:val="p"/>
          </m:rPr>
          <w:rPr>
            <w:rFonts w:ascii="Cambria Math" w:hAnsi="Cambria Math"/>
          </w:rPr>
          <m:t>=</m:t>
        </m:r>
        <m:sSup>
          <m:sSupPr>
            <m:ctrlPr>
              <w:rPr>
                <w:rFonts w:ascii="Cambria Math" w:hAnsi="Cambria Math"/>
              </w:rPr>
            </m:ctrlPr>
          </m:sSupPr>
          <m:e>
            <m:r>
              <m:rPr>
                <m:sty m:val="b"/>
              </m:rPr>
              <w:rPr>
                <w:rFonts w:ascii="Cambria Math" w:hAnsi="Cambria Math"/>
              </w:rPr>
              <m:t>Θ</m:t>
            </m:r>
          </m:e>
          <m:sup>
            <m:r>
              <w:rPr>
                <w:rFonts w:ascii="Cambria Math" w:hAnsi="Cambria Math"/>
              </w:rPr>
              <m:t>(</m:t>
            </m:r>
            <m:r>
              <w:rPr>
                <w:rFonts w:ascii="Cambria Math" w:hAnsi="Cambria Math"/>
                <w:lang w:eastAsia="ko-KR"/>
              </w:rPr>
              <m:t>sum</m:t>
            </m:r>
            <m:r>
              <w:rPr>
                <w:rFonts w:ascii="Cambria Math" w:hAnsi="Cambria Math"/>
              </w:rPr>
              <m:t>)</m:t>
            </m:r>
          </m:sup>
        </m:sSup>
      </m:oMath>
      <w:r w:rsidR="005F50A3">
        <w:t xml:space="preserve"> </w:t>
      </w:r>
      <w:r w:rsidR="000215E8" w:rsidRPr="000215E8">
        <w:t>which collects the residual variances on its diagonal and any off-diagonal residual covariances, if present</w:t>
      </w:r>
      <w:r w:rsidR="005F50A3">
        <w:t>.</w:t>
      </w:r>
      <w:r>
        <w:t xml:space="preserve"> </w:t>
      </w:r>
    </w:p>
    <w:p w14:paraId="22536C84" w14:textId="18E05069" w:rsidR="00522B4C" w:rsidRDefault="005B5905" w:rsidP="00BD26F1">
      <w:pPr>
        <w:pStyle w:val="FirstParagraph"/>
        <w:spacing w:before="240" w:after="0" w:line="480" w:lineRule="auto"/>
        <w:ind w:firstLine="720"/>
      </w:pPr>
      <w:r w:rsidRPr="005B5905">
        <w:t>Throughout, the superscript (</w:t>
      </w:r>
      <w:r>
        <w:t>sum</w:t>
      </w:r>
      <w:r w:rsidRPr="005B5905">
        <w:t xml:space="preserve">) </w:t>
      </w:r>
      <w:r>
        <w:t>refers to the</w:t>
      </w:r>
      <w:r w:rsidRPr="005B5905">
        <w:t xml:space="preserve"> quantities belonging to </w:t>
      </w:r>
      <w:r>
        <w:t>the</w:t>
      </w:r>
      <w:r w:rsidRPr="005B5905">
        <w:t xml:space="preserve"> fitted analysis model, distinguishing them from the generating-model quantities in (1) through (</w:t>
      </w:r>
      <w:r w:rsidR="000B71DA">
        <w:t>5</w:t>
      </w:r>
      <w:r w:rsidRPr="005B5905">
        <w:t xml:space="preserve">). </w:t>
      </w:r>
      <w:r w:rsidR="00000000">
        <w:t xml:space="preserve">The growth factor mean and </w:t>
      </w:r>
      <w:r w:rsidR="0048577B">
        <w:t>covariance</w:t>
      </w:r>
      <w:r w:rsidR="00000000">
        <w:t xml:space="preserve"> structure</w:t>
      </w:r>
      <w:r w:rsidR="00FE2C86">
        <w:t xml:space="preserve"> of sum-score model</w:t>
      </w:r>
      <w:r w:rsidR="00000000">
        <w:t xml:space="preserve"> are expressed as </w:t>
      </w:r>
      <m:oMath>
        <m:r>
          <m:rPr>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ξ</m:t>
                </m:r>
              </m:e>
              <m:sup>
                <m:r>
                  <w:rPr>
                    <w:rFonts w:ascii="Cambria Math" w:hAnsi="Cambria Math"/>
                  </w:rPr>
                  <m:t>(sum)</m:t>
                </m:r>
              </m:sup>
            </m:sSup>
          </m:e>
        </m:d>
        <m:r>
          <m:rPr>
            <m:sty m:val="p"/>
          </m:rPr>
          <w:rPr>
            <w:rFonts w:ascii="Cambria Math" w:hAnsi="Cambria Math"/>
          </w:rPr>
          <m:t>=</m:t>
        </m:r>
        <m:sSup>
          <m:sSupPr>
            <m:ctrlPr>
              <w:rPr>
                <w:rFonts w:ascii="Cambria Math" w:hAnsi="Cambria Math"/>
              </w:rPr>
            </m:ctrlPr>
          </m:sSupPr>
          <m:e>
            <m:r>
              <m:rPr>
                <m:sty m:val="b"/>
              </m:rPr>
              <w:rPr>
                <w:rFonts w:ascii="Cambria Math" w:hAnsi="Cambria Math"/>
              </w:rPr>
              <m:t>κ</m:t>
            </m:r>
          </m:e>
          <m:sup>
            <m:r>
              <w:rPr>
                <w:rFonts w:ascii="Cambria Math" w:hAnsi="Cambria Math"/>
              </w:rPr>
              <m:t>(sum)</m:t>
            </m:r>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κ</m:t>
                </m:r>
              </m:e>
              <m:sub>
                <m:r>
                  <w:rPr>
                    <w:rFonts w:ascii="Cambria Math" w:hAnsi="Cambria Math"/>
                  </w:rPr>
                  <m:t>I</m:t>
                </m:r>
              </m:sub>
              <m:sup>
                <m:r>
                  <w:rPr>
                    <w:rFonts w:ascii="Cambria Math" w:hAnsi="Cambria Math"/>
                  </w:rPr>
                  <m:t>(sum)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κ</m:t>
                </m:r>
              </m:e>
              <m:sub>
                <m:r>
                  <w:rPr>
                    <w:rFonts w:ascii="Cambria Math" w:hAnsi="Cambria Math"/>
                  </w:rPr>
                  <m:t>S</m:t>
                </m:r>
              </m:sub>
              <m:sup>
                <m:r>
                  <w:rPr>
                    <w:rFonts w:ascii="Cambria Math" w:hAnsi="Cambria Math"/>
                  </w:rPr>
                  <m:t>(sum)</m:t>
                </m:r>
              </m:sup>
            </m:sSubSup>
          </m:e>
        </m:d>
        <m:r>
          <m:rPr>
            <m:sty m:val="p"/>
          </m:rPr>
          <w:rPr>
            <w:rFonts w:ascii="Cambria Math" w:hAnsi="Cambria Math"/>
          </w:rPr>
          <m:t>'</m:t>
        </m:r>
      </m:oMath>
      <w:r w:rsidR="00000000">
        <w:t xml:space="preserve">, and </w:t>
      </w:r>
      <m:oMath>
        <m:r>
          <m:rPr>
            <m:sty m:val="p"/>
          </m:rPr>
          <w:rPr>
            <w:rFonts w:ascii="Cambria Math" w:hAnsi="Cambria Math"/>
          </w:rPr>
          <m:t>Cov</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ξ</m:t>
                </m:r>
              </m:e>
              <m:sup>
                <m:r>
                  <w:rPr>
                    <w:rFonts w:ascii="Cambria Math" w:hAnsi="Cambria Math"/>
                  </w:rPr>
                  <m:t>(sum)</m:t>
                </m:r>
              </m:sup>
            </m:sSup>
          </m:e>
        </m:d>
        <m:r>
          <w:rPr>
            <w:rFonts w:ascii="Cambria Math" w:hAnsi="Cambria Math"/>
          </w:rPr>
          <m:t>=</m:t>
        </m:r>
        <m:sSup>
          <m:sSupPr>
            <m:ctrlPr>
              <w:rPr>
                <w:rFonts w:ascii="Cambria Math" w:hAnsi="Cambria Math"/>
              </w:rPr>
            </m:ctrlPr>
          </m:sSupPr>
          <m:e>
            <m:r>
              <m:rPr>
                <m:sty m:val="b"/>
              </m:rPr>
              <w:rPr>
                <w:rFonts w:ascii="Cambria Math" w:hAnsi="Cambria Math"/>
              </w:rPr>
              <m:t>Φ</m:t>
            </m:r>
          </m:e>
          <m:sup>
            <m:r>
              <w:rPr>
                <w:rFonts w:ascii="Cambria Math" w:hAnsi="Cambria Math"/>
              </w:rPr>
              <m:t>(sum)</m:t>
            </m:r>
          </m:sup>
        </m:sSup>
      </m:oMath>
      <w:r w:rsidR="00E27EA8">
        <w:rPr>
          <w:lang w:eastAsia="ko-KR"/>
        </w:rPr>
        <w:t>.</w:t>
      </w:r>
      <w:r w:rsidR="00D404DE">
        <w:rPr>
          <w:rFonts w:hint="eastAsia"/>
          <w:lang w:eastAsia="ko-KR"/>
        </w:rPr>
        <w:t xml:space="preserve"> </w:t>
      </w:r>
      <w:r w:rsidR="00E27EA8">
        <w:rPr>
          <w:lang w:eastAsia="ko-KR"/>
        </w:rPr>
        <w:t>H</w:t>
      </w:r>
      <w:r w:rsidR="00D404DE" w:rsidRPr="005B5905">
        <w:t xml:space="preserve">ow the fitted growth factors </w:t>
      </w:r>
      <m:oMath>
        <m:sSup>
          <m:sSupPr>
            <m:ctrlPr>
              <w:rPr>
                <w:rFonts w:ascii="Cambria Math" w:hAnsi="Cambria Math"/>
              </w:rPr>
            </m:ctrlPr>
          </m:sSupPr>
          <m:e>
            <m:r>
              <m:rPr>
                <m:sty m:val="bi"/>
              </m:rPr>
              <w:rPr>
                <w:rFonts w:ascii="Cambria Math" w:hAnsi="Cambria Math"/>
              </w:rPr>
              <m:t>ξ</m:t>
            </m:r>
          </m:e>
          <m:sup>
            <m:d>
              <m:dPr>
                <m:ctrlPr>
                  <w:rPr>
                    <w:rFonts w:ascii="Cambria Math" w:hAnsi="Cambria Math"/>
                  </w:rPr>
                </m:ctrlPr>
              </m:dPr>
              <m:e>
                <m:r>
                  <w:rPr>
                    <w:rFonts w:ascii="Cambria Math" w:hAnsi="Cambria Math"/>
                  </w:rPr>
                  <m:t>sum</m:t>
                </m:r>
              </m:e>
            </m:d>
          </m:sup>
        </m:sSup>
      </m:oMath>
      <w:r w:rsidR="00D404DE">
        <w:t xml:space="preserve"> </w:t>
      </w:r>
      <w:r w:rsidR="00D404DE" w:rsidRPr="005B5905">
        <w:t xml:space="preserve">relate to the generating quantities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D404DE" w:rsidRPr="005B5905">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404DE" w:rsidRPr="005B5905">
        <w:t xml:space="preserve">, and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00D404DE">
        <w:t xml:space="preserve"> </w:t>
      </w:r>
      <w:r w:rsidR="00D404DE" w:rsidRPr="005B5905">
        <w:t xml:space="preserve">is the question taken up in </w:t>
      </w:r>
      <w:r w:rsidR="00D404DE">
        <w:t>later section</w:t>
      </w:r>
      <w:r w:rsidR="00D404DE" w:rsidRPr="005B5905">
        <w:t>.</w:t>
      </w:r>
    </w:p>
    <w:p w14:paraId="0FBABB1B" w14:textId="3197A9A2" w:rsidR="00E93E3E" w:rsidRPr="00FE2C86" w:rsidRDefault="003D4C02" w:rsidP="00BD26F1">
      <w:pPr>
        <w:pStyle w:val="FirstParagraph"/>
        <w:spacing w:before="240" w:after="0" w:line="480" w:lineRule="auto"/>
        <w:ind w:firstLine="720"/>
      </w:pPr>
      <w:r>
        <w:t xml:space="preserve">The present study assumes strong measurement invariance, so that each sum score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retains the same meaning across waves and the comparison between the two models is not confounded by measurement drift. The non-invariance case, where shifting item intercepts or loadings would introduce such drift, is left to future work.</w:t>
      </w:r>
    </w:p>
    <w:p w14:paraId="294F5FE1" w14:textId="5186C39C" w:rsidR="00E93E3E" w:rsidRPr="00BD26F1" w:rsidRDefault="003353A1" w:rsidP="00BD26F1">
      <w:pPr>
        <w:pStyle w:val="Compact"/>
        <w:spacing w:before="360" w:after="58" w:line="360" w:lineRule="auto"/>
        <w:ind w:right="562"/>
        <w:rPr>
          <w:b/>
          <w:bCs/>
          <w:i/>
          <w:iCs/>
        </w:rPr>
      </w:pPr>
      <w:r w:rsidRPr="00BD26F1">
        <w:rPr>
          <w:b/>
          <w:bCs/>
          <w:i/>
          <w:iCs/>
        </w:rPr>
        <w:t xml:space="preserve">2.3 </w:t>
      </w:r>
      <w:r w:rsidR="00000000" w:rsidRPr="00BD26F1">
        <w:rPr>
          <w:b/>
          <w:bCs/>
          <w:i/>
          <w:iCs/>
        </w:rPr>
        <w:t>Correlated uniqueness</w:t>
      </w:r>
    </w:p>
    <w:p w14:paraId="544FCFE9" w14:textId="16FB3FCC" w:rsidR="000110A9" w:rsidRDefault="00335907" w:rsidP="00BD26F1">
      <w:pPr>
        <w:pStyle w:val="FirstParagraph"/>
        <w:spacing w:before="240" w:after="0" w:line="480" w:lineRule="auto"/>
      </w:pPr>
      <w:r>
        <w:rPr>
          <w:lang w:eastAsia="ko-KR"/>
        </w:rPr>
        <w:lastRenderedPageBreak/>
        <w:t>In the current study, we</w:t>
      </w:r>
      <w:r>
        <w:t xml:space="preserve"> free only the lag-1 </w:t>
      </w:r>
      <w:r w:rsidR="00723C85">
        <w:t>CU</w:t>
      </w:r>
      <w:r>
        <w:t xml:space="preserve">, that is, those between residuals one wave apart, rather than a full autocorrelation structure that would also free covariances between non-adjacent waves. The sum-score 1-LGCM has limited degrees of freedom for residual covariances, and lag-1 is the most parsimonious CU specification, adding only </w:t>
      </w:r>
      <m:oMath>
        <m:r>
          <w:rPr>
            <w:rFonts w:ascii="Cambria Math" w:hAnsi="Cambria Math"/>
          </w:rPr>
          <m:t>T</m:t>
        </m:r>
        <m:r>
          <m:rPr>
            <m:sty m:val="p"/>
          </m:rPr>
          <w:rPr>
            <w:rFonts w:ascii="Cambria Math" w:hAnsi="Cambria Math"/>
          </w:rPr>
          <m:t>-</m:t>
        </m:r>
        <m:r>
          <w:rPr>
            <w:rFonts w:ascii="Cambria Math" w:hAnsi="Cambria Math"/>
          </w:rPr>
          <m:t>1</m:t>
        </m:r>
      </m:oMath>
      <w:r>
        <w:t xml:space="preserve"> covariances; even this minimal structure can be under-identified when the number of waves is small. At </w:t>
      </w:r>
      <m:oMath>
        <m:r>
          <w:rPr>
            <w:rFonts w:ascii="Cambria Math" w:hAnsi="Cambria Math"/>
          </w:rPr>
          <m:t>T</m:t>
        </m:r>
        <m:r>
          <m:rPr>
            <m:sty m:val="p"/>
          </m:rPr>
          <w:rPr>
            <w:rFonts w:ascii="Cambria Math" w:hAnsi="Cambria Math"/>
          </w:rPr>
          <m:t>=</m:t>
        </m:r>
        <m:r>
          <w:rPr>
            <w:rFonts w:ascii="Cambria Math" w:hAnsi="Cambria Math"/>
          </w:rPr>
          <m:t>3</m:t>
        </m:r>
      </m:oMath>
      <w:r>
        <w:t xml:space="preserve">, for instance, the covariance structure of the sum-score 1-LGCM with lag-1 covariances provides only 6 distinct covariance moments for 8 covariance-side parameters (three growth-factor covariance elements, three residual variances, and two lag-1 covariances), causing </w:t>
      </w:r>
      <w:r>
        <w:rPr>
          <w:lang w:eastAsia="ko-KR"/>
        </w:rPr>
        <w:t>under-identification (</w:t>
      </w:r>
      <w:proofErr w:type="spellStart"/>
      <w:r>
        <w:rPr>
          <w:lang w:eastAsia="ko-KR"/>
        </w:rPr>
        <w:t>df</w:t>
      </w:r>
      <w:proofErr w:type="spellEnd"/>
      <m:oMath>
        <m:r>
          <w:rPr>
            <w:rFonts w:ascii="Cambria Math" w:hAnsi="Cambria Math"/>
            <w:lang w:eastAsia="ko-KR"/>
          </w:rPr>
          <m:t xml:space="preserve"> </m:t>
        </m:r>
        <m:r>
          <w:rPr>
            <w:rFonts w:ascii="Cambria Math" w:hAnsi="Cambria Math"/>
          </w:rPr>
          <m:t>=-2</m:t>
        </m:r>
      </m:oMath>
      <w:r>
        <w:rPr>
          <w:lang w:eastAsia="ko-KR"/>
        </w:rPr>
        <w:t>)</w:t>
      </w:r>
      <w:r>
        <w:t xml:space="preserve">. Because any non-adjacent residual covariance would add further parameters, and to keep the comparison straightforward, we restrict the analysis to adjacent-wave residual covariances and estimate them only at </w:t>
      </w:r>
      <m:oMath>
        <m:r>
          <w:rPr>
            <w:rFonts w:ascii="Cambria Math" w:hAnsi="Cambria Math"/>
          </w:rPr>
          <m:t>T</m:t>
        </m:r>
        <m:r>
          <m:rPr>
            <m:sty m:val="p"/>
          </m:rPr>
          <w:rPr>
            <w:rFonts w:ascii="Cambria Math" w:hAnsi="Cambria Math"/>
          </w:rPr>
          <m:t>=</m:t>
        </m:r>
        <m:r>
          <w:rPr>
            <w:rFonts w:ascii="Cambria Math" w:hAnsi="Cambria Math"/>
          </w:rPr>
          <m:t>5</m:t>
        </m:r>
      </m:oMath>
      <w:r>
        <w:t>.</w:t>
      </w:r>
    </w:p>
    <w:p w14:paraId="7AD6D79B" w14:textId="716768EE" w:rsidR="00F7620E" w:rsidRDefault="005E6339" w:rsidP="005E6339">
      <w:pPr>
        <w:pStyle w:val="FirstParagraph"/>
        <w:spacing w:before="240" w:after="0" w:line="480" w:lineRule="auto"/>
        <w:ind w:firstLine="720"/>
      </w:pPr>
      <w:r>
        <w:t xml:space="preserve">Within each item, the residual variances and lag-1 covariances follow Equation (5), and residuals of different items are uncorrelated; together these entries form </w:t>
      </w:r>
      <m:oMath>
        <m:r>
          <m:rPr>
            <m:sty m:val="b"/>
          </m:rPr>
          <w:rPr>
            <w:rFonts w:ascii="Cambria Math" w:hAnsi="Cambria Math"/>
          </w:rPr>
          <m:t>Θ</m:t>
        </m:r>
      </m:oMath>
      <w:r>
        <w:rPr>
          <w:rFonts w:hint="eastAsia"/>
          <w:lang w:eastAsia="ko-KR"/>
        </w:rPr>
        <w:t xml:space="preserve">. </w:t>
      </w:r>
      <w:r w:rsidR="00C25F13">
        <w:t xml:space="preserve">Under lag-1 CU, the residual variances and covariances of the observed indicators in the 2-LGCM for waves </w:t>
      </w:r>
      <m:oMath>
        <m:r>
          <w:rPr>
            <w:rFonts w:ascii="Cambria Math" w:hAnsi="Cambria Math"/>
          </w:rPr>
          <m:t>t</m:t>
        </m:r>
        <m:r>
          <m:rPr>
            <m:sty m:val="p"/>
          </m:rPr>
          <w:rPr>
            <w:rFonts w:ascii="Cambria Math" w:hAnsi="Cambria Math"/>
          </w:rPr>
          <m:t>,</m:t>
        </m:r>
        <m:r>
          <w:rPr>
            <w:rFonts w:ascii="Cambria Math" w:hAnsi="Cambria Math"/>
          </w:rPr>
          <m:t>k</m:t>
        </m:r>
      </m:oMath>
      <w:r w:rsidR="00F7620E">
        <w:t xml:space="preserve"> </w:t>
      </w:r>
      <w:r w:rsidR="00C25F13">
        <w:t>are</w:t>
      </w:r>
    </w:p>
    <w:p w14:paraId="48A1B212" w14:textId="2695450B" w:rsidR="00A3312D" w:rsidRPr="00654D3E" w:rsidRDefault="00C25F13" w:rsidP="00654D3E">
      <w:pPr>
        <w:pStyle w:val="BodyText"/>
        <w:spacing w:before="240" w:after="0" w:line="480" w:lineRule="auto"/>
        <w:rPr>
          <w:rFonts w:hint="eastAsia"/>
          <w:lang w:eastAsia="ko-KR"/>
        </w:rPr>
      </w:pPr>
      <m:oMathPara>
        <m:oMathParaPr>
          <m:jc m:val="right"/>
        </m:oMathParaPr>
        <m:oMath>
          <m:r>
            <m:rPr>
              <m:sty m:val="p"/>
            </m:rPr>
            <w:rPr>
              <w:rFonts w:ascii="Cambria Math" w:hAnsi="Cambria Math"/>
            </w:rPr>
            <m:t>Cov</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ik</m:t>
                  </m:r>
                </m:sub>
              </m:sSub>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θ</m:t>
                        </m:r>
                      </m:e>
                      <m:sub>
                        <m:r>
                          <w:rPr>
                            <w:rFonts w:ascii="Cambria Math" w:hAnsi="Cambria Math"/>
                          </w:rPr>
                          <m:t>tt</m:t>
                        </m:r>
                      </m:sub>
                    </m:sSub>
                    <m:r>
                      <w:rPr>
                        <w:rFonts w:ascii="Cambria Math" w:hAnsi="Cambria Math"/>
                      </w:rPr>
                      <m:t>,</m:t>
                    </m:r>
                  </m:e>
                  <m:e>
                    <m:r>
                      <w:rPr>
                        <w:rFonts w:ascii="Cambria Math" w:hAnsi="Cambria Math"/>
                      </w:rPr>
                      <m:t>t=k,</m:t>
                    </m:r>
                  </m:e>
                </m:mr>
                <m:mr>
                  <m:e>
                    <m:sSub>
                      <m:sSubPr>
                        <m:ctrlPr>
                          <w:rPr>
                            <w:rFonts w:ascii="Cambria Math" w:hAnsi="Cambria Math"/>
                          </w:rPr>
                        </m:ctrlPr>
                      </m:sSubPr>
                      <m:e>
                        <m:r>
                          <w:rPr>
                            <w:rFonts w:ascii="Cambria Math" w:hAnsi="Cambria Math"/>
                          </w:rPr>
                          <m:t>θ</m:t>
                        </m:r>
                      </m:e>
                      <m:sub>
                        <m:r>
                          <w:rPr>
                            <w:rFonts w:ascii="Cambria Math" w:hAnsi="Cambria Math"/>
                          </w:rPr>
                          <m:t>tk</m:t>
                        </m:r>
                      </m:sub>
                    </m:sSub>
                    <m:r>
                      <w:rPr>
                        <w:rFonts w:ascii="Cambria Math" w:hAnsi="Cambria Math"/>
                      </w:rPr>
                      <m:t>,</m:t>
                    </m:r>
                  </m:e>
                  <m:e>
                    <m:d>
                      <m:dPr>
                        <m:begChr m:val="|"/>
                        <m:endChr m:val="|"/>
                        <m:ctrlPr>
                          <w:rPr>
                            <w:rFonts w:ascii="Cambria Math" w:hAnsi="Cambria Math"/>
                          </w:rPr>
                        </m:ctrlPr>
                      </m:dPr>
                      <m:e>
                        <m:r>
                          <w:rPr>
                            <w:rFonts w:ascii="Cambria Math" w:hAnsi="Cambria Math"/>
                          </w:rPr>
                          <m:t>t-k</m:t>
                        </m:r>
                      </m:e>
                    </m:d>
                    <m:r>
                      <w:rPr>
                        <w:rFonts w:ascii="Cambria Math" w:hAnsi="Cambria Math"/>
                      </w:rPr>
                      <m:t>=1,</m:t>
                    </m:r>
                  </m:e>
                </m:mr>
                <m:mr>
                  <m:e>
                    <m:r>
                      <w:rPr>
                        <w:rFonts w:ascii="Cambria Math" w:hAnsi="Cambria Math"/>
                      </w:rPr>
                      <m:t>0,</m:t>
                    </m:r>
                  </m:e>
                  <m:e>
                    <m:d>
                      <m:dPr>
                        <m:begChr m:val="|"/>
                        <m:endChr m:val="|"/>
                        <m:ctrlPr>
                          <w:rPr>
                            <w:rFonts w:ascii="Cambria Math" w:hAnsi="Cambria Math"/>
                          </w:rPr>
                        </m:ctrlPr>
                      </m:dPr>
                      <m:e>
                        <m:r>
                          <w:rPr>
                            <w:rFonts w:ascii="Cambria Math" w:hAnsi="Cambria Math"/>
                          </w:rPr>
                          <m:t>t-k</m:t>
                        </m:r>
                      </m:e>
                    </m:d>
                    <m:r>
                      <w:rPr>
                        <w:rFonts w:ascii="Cambria Math" w:hAnsi="Cambria Math"/>
                      </w:rPr>
                      <m:t>≥2.</m:t>
                    </m:r>
                  </m:e>
                </m:mr>
              </m:m>
            </m:e>
          </m:d>
          <m:r>
            <w:rPr>
              <w:rFonts w:ascii="Cambria Math" w:hAnsi="Cambria Math"/>
            </w:rPr>
            <m:t xml:space="preserve">     </m:t>
          </m:r>
          <m:r>
            <w:rPr>
              <w:rFonts w:ascii="Cambria Math" w:hAnsi="Cambria Math" w:hint="eastAsia"/>
              <w:lang w:eastAsia="ko-KR"/>
            </w:rPr>
            <m:t xml:space="preserve">   </m:t>
          </m:r>
          <m:r>
            <w:rPr>
              <w:rFonts w:ascii="Cambria Math" w:hAnsi="Cambria Math"/>
            </w:rPr>
            <m:t xml:space="preserve">        </m:t>
          </m:r>
          <m:r>
            <w:rPr>
              <w:rFonts w:ascii="Cambria Math" w:hAnsi="Cambria Math" w:hint="eastAsia"/>
              <w:lang w:eastAsia="ko-KR"/>
            </w:rPr>
            <m:t xml:space="preserve">   </m:t>
          </m:r>
          <m:r>
            <w:rPr>
              <w:rFonts w:ascii="Cambria Math" w:hAnsi="Cambria Math" w:hint="eastAsia"/>
              <w:lang w:eastAsia="ko-KR"/>
            </w:rPr>
            <m:t xml:space="preserve">                          </m:t>
          </m:r>
          <m:r>
            <w:rPr>
              <w:rFonts w:ascii="Cambria Math" w:hAnsi="Cambria Math" w:hint="eastAsia"/>
              <w:lang w:eastAsia="ko-KR"/>
            </w:rPr>
            <m:t xml:space="preserve"> </m:t>
          </m:r>
          <m:r>
            <w:rPr>
              <w:rFonts w:ascii="Cambria Math" w:hAnsi="Cambria Math"/>
            </w:rPr>
            <m:t xml:space="preserve">    (</m:t>
          </m:r>
          <m:r>
            <w:rPr>
              <w:rFonts w:ascii="Cambria Math" w:hAnsi="Cambria Math"/>
            </w:rPr>
            <m:t>)</m:t>
          </m:r>
        </m:oMath>
      </m:oMathPara>
      <w:bookmarkStart w:id="5" w:name="scale-alignment"/>
      <w:bookmarkEnd w:id="2"/>
      <w:bookmarkEnd w:id="4"/>
    </w:p>
    <w:p w14:paraId="651E0CA2" w14:textId="25C67EA0" w:rsidR="00E93E3E" w:rsidRDefault="003E3463" w:rsidP="00EE490D">
      <w:pPr>
        <w:pStyle w:val="Heading1"/>
        <w:spacing w:before="360" w:after="58" w:line="360" w:lineRule="auto"/>
        <w:ind w:right="562"/>
        <w:rPr>
          <w:rFonts w:hint="eastAsia"/>
          <w:lang w:eastAsia="ko-KR"/>
        </w:rPr>
      </w:pPr>
      <w:r>
        <w:t>3</w:t>
      </w:r>
      <w:r>
        <w:rPr>
          <w:lang w:eastAsia="ko-KR"/>
        </w:rPr>
        <w:t xml:space="preserve"> </w:t>
      </w:r>
      <w:r>
        <w:t>Scale</w:t>
      </w:r>
      <w:r w:rsidR="00000000">
        <w:t xml:space="preserve"> Alignment</w:t>
      </w:r>
    </w:p>
    <w:p w14:paraId="4CD79125" w14:textId="77777777" w:rsidR="00E93E3E" w:rsidRPr="00C31267" w:rsidRDefault="00000000" w:rsidP="00EE490D">
      <w:pPr>
        <w:pStyle w:val="Heading2"/>
        <w:spacing w:before="360" w:after="58" w:line="360" w:lineRule="auto"/>
        <w:ind w:right="562"/>
        <w:rPr>
          <w:rFonts w:hint="eastAsia"/>
          <w:b/>
          <w:bCs/>
          <w:lang w:eastAsia="ko-KR"/>
        </w:rPr>
      </w:pPr>
      <w:bookmarkStart w:id="6" w:name="X584b9ae96b5091b1403aed0bc039d1312c107ed"/>
      <w:r w:rsidRPr="00C31267">
        <w:rPr>
          <w:b/>
          <w:bCs/>
        </w:rPr>
        <w:t>3.1 Transformation to the Effects-Coding Fitted Population</w:t>
      </w:r>
    </w:p>
    <w:p w14:paraId="04E820AC" w14:textId="064E1F03" w:rsidR="00E93E3E" w:rsidRDefault="00000000" w:rsidP="00D54843">
      <w:pPr>
        <w:pStyle w:val="FirstParagraph"/>
        <w:spacing w:before="240" w:after="0" w:line="480" w:lineRule="auto"/>
      </w:pPr>
      <w:r>
        <w:t>To align the parameters from 1-LGCM and 2-LGCM on the same scale,</w:t>
      </w:r>
      <w:r w:rsidR="003D4C02">
        <w:t xml:space="preserve"> we use </w:t>
      </w:r>
      <w:r>
        <w:t xml:space="preserve">effects-coding (EC) </w:t>
      </w:r>
      <w:r w:rsidR="003D4C02">
        <w:t>and show how</w:t>
      </w:r>
      <w:r>
        <w:t xml:space="preserve"> its parameters are transformed from the population-generating </w:t>
      </w:r>
      <w:r>
        <w:lastRenderedPageBreak/>
        <w:t>model. This transformation is motivated by Yang et al. (2021)’s work on effects-coding and Deng and Yuan (2023)’s comments on rescaling. EC identifies the scale of latent variable such that, for each measurement time point, the factor loadings and intercepts satisfy</w:t>
      </w:r>
    </w:p>
    <w:p w14:paraId="583A0CFF" w14:textId="1B8C466F" w:rsidR="00E93E3E" w:rsidRDefault="00000000" w:rsidP="00BD26F1">
      <w:pPr>
        <w:pStyle w:val="BodyText"/>
        <w:spacing w:before="240" w:after="0" w:line="480" w:lineRule="auto"/>
        <w:jc w:val="right"/>
      </w:p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Sup>
              <m:sSubSupPr>
                <m:ctrlPr>
                  <w:rPr>
                    <w:rFonts w:ascii="Cambria Math" w:hAnsi="Cambria Math"/>
                  </w:rPr>
                </m:ctrlPr>
              </m:sSubSupPr>
              <m:e>
                <m:r>
                  <w:rPr>
                    <w:rFonts w:ascii="Cambria Math" w:hAnsi="Cambria Math"/>
                  </w:rPr>
                  <m:t>λ</m:t>
                </m:r>
              </m:e>
              <m:sub>
                <m:r>
                  <w:rPr>
                    <w:rFonts w:ascii="Cambria Math" w:hAnsi="Cambria Math"/>
                  </w:rPr>
                  <m:t>it</m:t>
                </m:r>
              </m:sub>
              <m:sup>
                <m:d>
                  <m:dPr>
                    <m:ctrlPr>
                      <w:rPr>
                        <w:rFonts w:ascii="Cambria Math" w:hAnsi="Cambria Math"/>
                      </w:rPr>
                    </m:ctrlPr>
                  </m:dPr>
                  <m:e>
                    <m:r>
                      <m:rPr>
                        <m:nor/>
                      </m:rPr>
                      <m:t>ec</m:t>
                    </m:r>
                  </m:e>
                </m:d>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Sup>
              <m:sSubSupPr>
                <m:ctrlPr>
                  <w:rPr>
                    <w:rFonts w:ascii="Cambria Math" w:hAnsi="Cambria Math"/>
                  </w:rPr>
                </m:ctrlPr>
              </m:sSubSupPr>
              <m:e>
                <m:r>
                  <w:rPr>
                    <w:rFonts w:ascii="Cambria Math" w:hAnsi="Cambria Math"/>
                  </w:rPr>
                  <m:t>τ</m:t>
                </m:r>
              </m:e>
              <m:sub>
                <m:r>
                  <w:rPr>
                    <w:rFonts w:ascii="Cambria Math" w:hAnsi="Cambria Math"/>
                  </w:rPr>
                  <m:t>it</m:t>
                </m:r>
              </m:sub>
              <m:sup>
                <m:d>
                  <m:dPr>
                    <m:ctrlPr>
                      <w:rPr>
                        <w:rFonts w:ascii="Cambria Math" w:hAnsi="Cambria Math"/>
                      </w:rPr>
                    </m:ctrlPr>
                  </m:dPr>
                  <m:e>
                    <m:r>
                      <m:rPr>
                        <m:nor/>
                      </m:rPr>
                      <m:t>ec</m:t>
                    </m:r>
                  </m:e>
                </m:d>
              </m:sup>
            </m:sSubSup>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lang w:eastAsia="ko-KR"/>
          </w:rPr>
          <m:t xml:space="preserve">                                           </m:t>
        </m:r>
        <m:d>
          <m:dPr>
            <m:ctrlPr>
              <w:rPr>
                <w:rFonts w:ascii="Cambria Math" w:hAnsi="Cambria Math"/>
              </w:rPr>
            </m:ctrlPr>
          </m:dPr>
          <m:e>
            <m:r>
              <w:rPr>
                <w:rFonts w:ascii="Cambria Math" w:hAnsi="Cambria Math"/>
              </w:rPr>
              <m:t>6</m:t>
            </m:r>
          </m:e>
        </m:d>
      </m:oMath>
      <w:r w:rsidR="00522B4C">
        <w:t xml:space="preserve"> </w:t>
      </w:r>
    </w:p>
    <w:p w14:paraId="4AE4E7B4" w14:textId="77777777" w:rsidR="003D4C02" w:rsidRDefault="00000000" w:rsidP="00BD26F1">
      <w:pPr>
        <w:pStyle w:val="FirstParagraph"/>
        <w:spacing w:before="240" w:after="0" w:line="480" w:lineRule="auto"/>
      </w:pPr>
      <w:r>
        <w:t>where (ec) denotes the parameters are in the effects-coding fitted metric.</w:t>
      </w:r>
      <w:r w:rsidR="003D4C02">
        <w:t xml:space="preserve"> </w:t>
      </w:r>
    </w:p>
    <w:p w14:paraId="2791FDF0" w14:textId="53CBC22C" w:rsidR="00E93E3E" w:rsidRDefault="00000000" w:rsidP="00D54843">
      <w:pPr>
        <w:pStyle w:val="FirstParagraph"/>
        <w:spacing w:before="240" w:after="0" w:line="480" w:lineRule="auto"/>
        <w:ind w:firstLine="720"/>
      </w:pPr>
      <w:r>
        <w:t>Here, assume there is a linear transformation between the two latent factor scales from the generating model to the EC model as:</w:t>
      </w:r>
    </w:p>
    <w:p w14:paraId="26C7BA54" w14:textId="55E94473" w:rsidR="00E93E3E" w:rsidRPr="006B47F0" w:rsidRDefault="00000000" w:rsidP="00BD26F1">
      <w:pPr>
        <w:pStyle w:val="BodyText"/>
        <w:spacing w:before="240" w:after="0" w:line="480" w:lineRule="auto"/>
      </w:pPr>
      <m:oMathPara>
        <m:oMathParaPr>
          <m:jc m:val="right"/>
        </m:oMathParaP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 xml:space="preserve">                                                          </m:t>
          </m:r>
          <m:r>
            <w:rPr>
              <w:rFonts w:ascii="Cambria Math" w:hAnsi="Cambria Math"/>
            </w:rPr>
            <m:t> </m:t>
          </m:r>
          <m:d>
            <m:dPr>
              <m:ctrlPr>
                <w:rPr>
                  <w:rFonts w:ascii="Cambria Math" w:hAnsi="Cambria Math"/>
                </w:rPr>
              </m:ctrlPr>
            </m:dPr>
            <m:e>
              <m:r>
                <w:rPr>
                  <w:rFonts w:ascii="Cambria Math" w:hAnsi="Cambria Math"/>
                </w:rPr>
                <m:t>7</m:t>
              </m:r>
            </m:e>
          </m:d>
        </m:oMath>
      </m:oMathPara>
    </w:p>
    <w:p w14:paraId="5743EFB2" w14:textId="58EB4778" w:rsidR="00E93E3E" w:rsidRDefault="00000000" w:rsidP="00BD26F1">
      <w:pPr>
        <w:pStyle w:val="FirstParagraph"/>
        <w:spacing w:before="240" w:after="0" w:line="480" w:lineRule="auto"/>
      </w:pPr>
      <w:r>
        <w:t xml:space="preserve">There are two unknown parameters: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are scale and location parameter respectively. With this relationship, we can map the latent factors</w:t>
      </w:r>
      <w:r w:rsidR="006E0255">
        <w:t xml:space="preserve"> from generating model</w:t>
      </w:r>
      <w:r>
        <w:t xml:space="preserve"> onto the EC metric, making the parameter estimates from both models directly comparable. From equation (</w:t>
      </w:r>
      <w:r w:rsidR="00E42E8E">
        <w:t>7</w:t>
      </w:r>
      <w:r>
        <w:t xml:space="preserve">), </w:t>
      </w:r>
      <m:oMath>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oMath>
      <w:r>
        <w:t>, and now equation (2) can also be re-expressed in the EC-fitted metric as:</w:t>
      </w:r>
    </w:p>
    <w:p w14:paraId="644F6EEE" w14:textId="7BE247AA" w:rsidR="00E93E3E" w:rsidRPr="00F80F23" w:rsidRDefault="00000000" w:rsidP="00BD26F1">
      <w:pPr>
        <w:pStyle w:val="BodyText"/>
        <w:spacing w:before="240" w:after="0" w:line="480" w:lineRule="auto"/>
        <w:rPr>
          <w:lang w:val="sv-SE"/>
        </w:rPr>
      </w:pPr>
      <m:oMathPara>
        <m:oMath>
          <m:r>
            <m:rPr>
              <m:sty m:val="p"/>
            </m:rPr>
            <w:rPr>
              <w:rFonts w:ascii="Cambria Math" w:hAnsi="Cambria Math"/>
              <w:lang w:val="sv-SE"/>
            </w:rPr>
            <m:t>E</m:t>
          </m:r>
          <m:d>
            <m:dPr>
              <m:begChr m:val="["/>
              <m:endChr m:val="]"/>
              <m:ctrlPr>
                <w:rPr>
                  <w:rFonts w:ascii="Cambria Math" w:hAnsi="Cambria Math"/>
                </w:rPr>
              </m:ctrlPr>
            </m:dPr>
            <m:e>
              <m:sSub>
                <m:sSubPr>
                  <m:ctrlPr>
                    <w:rPr>
                      <w:rFonts w:ascii="Cambria Math" w:hAnsi="Cambria Math"/>
                      <w:i/>
                    </w:rPr>
                  </m:ctrlPr>
                </m:sSubPr>
                <m:e>
                  <m:r>
                    <m:rPr>
                      <m:sty m:val="b"/>
                    </m:rPr>
                    <w:rPr>
                      <w:rFonts w:ascii="Cambria Math" w:hAnsi="Cambria Math"/>
                    </w:rPr>
                    <m:t>y</m:t>
                  </m:r>
                </m:e>
                <m:sub>
                  <m:r>
                    <w:rPr>
                      <w:rFonts w:ascii="Cambria Math" w:hAnsi="Cambria Math"/>
                    </w:rPr>
                    <m:t>t</m:t>
                  </m:r>
                </m:sub>
              </m:sSub>
              <m:r>
                <m:rPr>
                  <m:sty m:val="p"/>
                </m:rPr>
                <w:rPr>
                  <w:rFonts w:ascii="Cambria Math" w:hAnsi="Cambria Math"/>
                  <w:lang w:val="sv-SE"/>
                </w:rPr>
                <m:t>∣</m:t>
              </m:r>
              <m:sSub>
                <m:sSubPr>
                  <m:ctrlPr>
                    <w:rPr>
                      <w:rFonts w:ascii="Cambria Math" w:hAnsi="Cambria Math"/>
                      <w:i/>
                    </w:rPr>
                  </m:ctrlPr>
                </m:sSubPr>
                <m:e>
                  <m:r>
                    <w:rPr>
                      <w:rFonts w:ascii="Cambria Math" w:hAnsi="Cambria Math"/>
                    </w:rPr>
                    <m:t>η</m:t>
                  </m:r>
                </m:e>
                <m:sub>
                  <m:r>
                    <w:rPr>
                      <w:rFonts w:ascii="Cambria Math" w:hAnsi="Cambria Math"/>
                    </w:rPr>
                    <m:t>t</m:t>
                  </m:r>
                </m:sub>
              </m:sSub>
            </m:e>
          </m:d>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τ</m:t>
              </m:r>
            </m:e>
            <m:sub>
              <m:r>
                <w:rPr>
                  <w:rFonts w:ascii="Cambria Math" w:hAnsi="Cambria Math"/>
                </w:rPr>
                <m:t>t</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Λ</m:t>
              </m:r>
            </m:e>
            <m:sub>
              <m:r>
                <w:rPr>
                  <w:rFonts w:ascii="Cambria Math" w:hAnsi="Cambria Math"/>
                </w:rPr>
                <m:t>t</m:t>
              </m:r>
            </m:sub>
          </m:sSub>
          <m:r>
            <w:rPr>
              <w:rFonts w:ascii="Cambria Math" w:hAnsi="Cambria Math"/>
              <w:lang w:val="sv-SE"/>
            </w:rPr>
            <m:t>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τ</m:t>
              </m:r>
            </m:e>
            <m:sub>
              <m:r>
                <w:rPr>
                  <w:rFonts w:ascii="Cambria Math" w:hAnsi="Cambria Math"/>
                </w:rPr>
                <m:t>t</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Λ</m:t>
              </m:r>
            </m:e>
            <m:sub>
              <m:r>
                <w:rPr>
                  <w:rFonts w:ascii="Cambria Math" w:hAnsi="Cambria Math"/>
                </w:rPr>
                <m:t>t</m:t>
              </m:r>
            </m:sub>
          </m:sSub>
          <m:r>
            <w:rPr>
              <w:rFonts w:ascii="Cambria Math" w:hAnsi="Cambria Math"/>
              <w:lang w:val="sv-SE"/>
            </w:rPr>
            <m:t> </m:t>
          </m:r>
          <m:f>
            <m:fPr>
              <m:ctrlPr>
                <w:rPr>
                  <w:rFonts w:ascii="Cambria Math" w:hAnsi="Cambria Math"/>
                </w:rPr>
              </m:ctrlPr>
            </m:fPr>
            <m:num>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w:rPr>
                          <w:lang w:val="sv-SE"/>
                        </w:rPr>
                        <m:t>ec</m:t>
                      </m:r>
                    </m:e>
                  </m:d>
                </m:sup>
              </m:sSubSup>
              <m:r>
                <m:rPr>
                  <m:sty m:val="p"/>
                </m:rPr>
                <w:rPr>
                  <w:rFonts w:ascii="Cambria Math" w:hAnsi="Cambria Math"/>
                  <w:lang w:val="sv-SE"/>
                </w:rPr>
                <m:t>-</m:t>
              </m:r>
              <m:sSub>
                <m:sSubPr>
                  <m:ctrlPr>
                    <w:rPr>
                      <w:rFonts w:ascii="Cambria Math" w:hAnsi="Cambria Math"/>
                    </w:rPr>
                  </m:ctrlPr>
                </m:sSubPr>
                <m:e>
                  <m:r>
                    <w:rPr>
                      <w:rFonts w:ascii="Cambria Math" w:hAnsi="Cambria Math"/>
                    </w:rPr>
                    <m:t>δ</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r>
            <m:rPr>
              <m:sty m:val="p"/>
            </m:rP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τ</m:t>
                  </m:r>
                </m:e>
                <m:sub>
                  <m:r>
                    <w:rPr>
                      <w:rFonts w:ascii="Cambria Math" w:hAnsi="Cambria Math"/>
                    </w:rPr>
                    <m:t>t</m:t>
                  </m:r>
                </m:sub>
              </m:sSub>
              <m:r>
                <m:rPr>
                  <m:sty m:val="p"/>
                </m:rPr>
                <w:rPr>
                  <w:rFonts w:ascii="Cambria Math" w:hAnsi="Cambria Math"/>
                  <w:lang w:val="sv-SE"/>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r>
                <w:rPr>
                  <w:rFonts w:ascii="Cambria Math" w:hAnsi="Cambria Math"/>
                  <w:lang w:val="sv-SE"/>
                </w:rPr>
                <m:t> </m:t>
              </m:r>
              <m:sSub>
                <m:sSubPr>
                  <m:ctrlPr>
                    <w:rPr>
                      <w:rFonts w:ascii="Cambria Math" w:hAnsi="Cambria Math"/>
                    </w:rPr>
                  </m:ctrlPr>
                </m:sSubPr>
                <m:e>
                  <m:r>
                    <m:rPr>
                      <m:sty m:val="b"/>
                    </m:rPr>
                    <w:rPr>
                      <w:rFonts w:ascii="Cambria Math" w:hAnsi="Cambria Math"/>
                    </w:rPr>
                    <m:t>Λ</m:t>
                  </m:r>
                </m:e>
                <m:sub>
                  <m:r>
                    <w:rPr>
                      <w:rFonts w:ascii="Cambria Math" w:hAnsi="Cambria Math"/>
                    </w:rPr>
                    <m:t>t</m:t>
                  </m:r>
                </m:sub>
              </m:sSub>
            </m:e>
          </m:d>
          <m:r>
            <m:rPr>
              <m:sty m:val="p"/>
            </m:rPr>
            <w:rPr>
              <w:rFonts w:ascii="Cambria Math" w:hAnsi="Cambria Math"/>
              <w:lang w:val="sv-SE"/>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Λ</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r>
            <w:rPr>
              <w:rFonts w:ascii="Cambria Math" w:hAnsi="Cambria Math"/>
              <w:lang w:val="sv-SE"/>
            </w:rPr>
            <m:t> </m:t>
          </m:r>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w:rPr>
                      <w:lang w:val="sv-SE"/>
                    </w:rPr>
                    <m:t>ec</m:t>
                  </m:r>
                </m:e>
              </m:d>
            </m:sup>
          </m:sSubSup>
          <m:r>
            <m:rPr>
              <m:sty m:val="p"/>
            </m:rPr>
            <w:rPr>
              <w:rFonts w:ascii="Cambria Math" w:hAnsi="Cambria Math"/>
              <w:lang w:val="sv-SE"/>
            </w:rPr>
            <m:t>.</m:t>
          </m:r>
        </m:oMath>
      </m:oMathPara>
    </w:p>
    <w:p w14:paraId="565F968C" w14:textId="77777777" w:rsidR="00E93E3E" w:rsidRDefault="00000000" w:rsidP="00BD26F1">
      <w:pPr>
        <w:pStyle w:val="FirstParagraph"/>
        <w:spacing w:before="240" w:after="0" w:line="480" w:lineRule="auto"/>
      </w:pPr>
      <w:r>
        <w:t>Then,</w:t>
      </w:r>
    </w:p>
    <w:p w14:paraId="2C1F5CE4" w14:textId="345829BC" w:rsidR="00E93E3E" w:rsidRPr="006B47F0" w:rsidRDefault="00000000" w:rsidP="00BD26F1">
      <w:pPr>
        <w:pStyle w:val="BodyText"/>
        <w:spacing w:before="240" w:after="0" w:line="480" w:lineRule="auto"/>
      </w:pPr>
      <m:oMathPara>
        <m:oMathParaPr>
          <m:jc m:val="right"/>
        </m:oMathParaPr>
        <m:oMath>
          <m:sSubSup>
            <m:sSubSupPr>
              <m:ctrlPr>
                <w:rPr>
                  <w:rFonts w:ascii="Cambria Math" w:hAnsi="Cambria Math"/>
                </w:rPr>
              </m:ctrlPr>
            </m:sSubSupPr>
            <m:e>
              <m:r>
                <m:rPr>
                  <m:sty m:val="b"/>
                </m:rPr>
                <w:rPr>
                  <w:rFonts w:ascii="Cambria Math" w:hAnsi="Cambria Math"/>
                </w:rPr>
                <m:t>τ</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r>
            <w:rPr>
              <w:rFonts w:ascii="Cambria Math" w:hAnsi="Cambria Math"/>
            </w:rPr>
            <m:t> </m:t>
          </m:r>
          <m:sSub>
            <m:sSubPr>
              <m:ctrlPr>
                <w:rPr>
                  <w:rFonts w:ascii="Cambria Math" w:hAnsi="Cambria Math"/>
                </w:rPr>
              </m:ctrlPr>
            </m:sSubPr>
            <m:e>
              <m:r>
                <m:rPr>
                  <m:sty m:val="b"/>
                </m:rPr>
                <w:rPr>
                  <w:rFonts w:ascii="Cambria Math" w:hAnsi="Cambria Math"/>
                </w:rPr>
                <m:t>Λ</m:t>
              </m:r>
            </m:e>
            <m:sub>
              <m:r>
                <w:rPr>
                  <w:rFonts w:ascii="Cambria Math" w:hAnsi="Cambria Math"/>
                </w:rPr>
                <m:t>t</m:t>
              </m:r>
            </m:sub>
          </m:sSub>
          <m:r>
            <w:rPr>
              <w:rFonts w:ascii="Cambria Math" w:hAnsi="Cambria Math"/>
            </w:rPr>
            <m:t> </m:t>
          </m:r>
          <m:r>
            <m:rPr>
              <m:sty m:val="p"/>
            </m:rPr>
            <w:rPr>
              <w:rFonts w:ascii="Cambria Math" w:hAnsi="Cambria Math"/>
            </w:rPr>
            <m:t xml:space="preserve">,  </m:t>
          </m:r>
          <m:sSubSup>
            <m:sSubSupPr>
              <m:ctrlPr>
                <w:rPr>
                  <w:rFonts w:ascii="Cambria Math" w:hAnsi="Cambria Math"/>
                </w:rPr>
              </m:ctrlPr>
            </m:sSubSupPr>
            <m:e>
              <m:r>
                <m:rPr>
                  <m:sty m:val="b"/>
                </m:rPr>
                <w:rPr>
                  <w:rFonts w:ascii="Cambria Math" w:hAnsi="Cambria Math"/>
                </w:rPr>
                <m:t>Λ</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Λ</m:t>
                  </m:r>
                </m:e>
                <m:sub>
                  <m:r>
                    <w:rPr>
                      <w:rFonts w:ascii="Cambria Math" w:hAnsi="Cambria Math"/>
                    </w:rPr>
                    <m:t>t</m:t>
                  </m:r>
                </m:sub>
              </m:sSub>
            </m:num>
            <m:den>
              <m:sSub>
                <m:sSubPr>
                  <m:ctrlPr>
                    <w:rPr>
                      <w:rFonts w:ascii="Cambria Math" w:hAnsi="Cambria Math"/>
                    </w:rPr>
                  </m:ctrlPr>
                </m:sSubPr>
                <m:e>
                  <m:r>
                    <w:rPr>
                      <w:rFonts w:ascii="Cambria Math" w:hAnsi="Cambria Math"/>
                    </w:rPr>
                    <m:t>w</m:t>
                  </m:r>
                </m:e>
                <m:sub>
                  <m:r>
                    <w:rPr>
                      <w:rFonts w:ascii="Cambria Math" w:hAnsi="Cambria Math"/>
                    </w:rPr>
                    <m:t>t</m:t>
                  </m:r>
                </m:sub>
              </m:sSub>
            </m:den>
          </m:f>
          <m:r>
            <w:rPr>
              <w:rFonts w:ascii="Cambria Math" w:hAnsi="Cambria Math"/>
            </w:rPr>
            <m:t xml:space="preserve"> </m:t>
          </m:r>
          <m:r>
            <m:rPr>
              <m:sty m:val="p"/>
            </m:rPr>
            <w:rPr>
              <w:rFonts w:ascii="Cambria Math" w:hAnsi="Cambria Math"/>
            </w:rPr>
            <m:t>.</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8</m:t>
              </m:r>
            </m:e>
          </m:d>
        </m:oMath>
      </m:oMathPara>
    </w:p>
    <w:p w14:paraId="4A3B5D1C" w14:textId="7A325EAA" w:rsidR="00E93E3E" w:rsidRDefault="00514578" w:rsidP="00BD26F1">
      <w:pPr>
        <w:pStyle w:val="FirstParagraph"/>
        <w:spacing w:before="240" w:after="0" w:line="480" w:lineRule="auto"/>
      </w:pPr>
      <w:r w:rsidRPr="00514578">
        <w:t>Here, the effects-coding constraint determines</w:t>
      </w:r>
      <w:r w:rsidR="00000000">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00000000">
        <w:t xml:space="preserv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w:t>
      </w:r>
      <w:r w:rsidR="00000000">
        <w:t xml:space="preserve"> </w:t>
      </w:r>
      <w:r w:rsidRPr="00514578">
        <w:t>Substituting equation (8) into the constraints in equation (6) and solving gives</w:t>
      </w:r>
      <w:r w:rsidR="00000000">
        <w:t>:</w:t>
      </w:r>
    </w:p>
    <w:p w14:paraId="626FE38C" w14:textId="0AF36E32" w:rsidR="00E93E3E" w:rsidRDefault="00000000" w:rsidP="00BD26F1">
      <w:pPr>
        <w:pStyle w:val="BodyText"/>
        <w:spacing w:before="240" w:after="0" w:line="480" w:lineRule="auto"/>
        <w:jc w:val="center"/>
      </w:p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λ</m:t>
                </m:r>
              </m:e>
              <m:sub>
                <m:r>
                  <w:rPr>
                    <w:rFonts w:ascii="Cambria Math" w:hAnsi="Cambria Math"/>
                  </w:rPr>
                  <m:t>it</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τ</m:t>
                </m:r>
              </m:e>
              <m:sub>
                <m:r>
                  <w:rPr>
                    <w:rFonts w:ascii="Cambria Math" w:hAnsi="Cambria Math"/>
                  </w:rPr>
                  <m:t>it</m:t>
                </m:r>
              </m:sub>
            </m:sSub>
          </m:e>
        </m:nary>
        <m:r>
          <m:rPr>
            <m:sty m:val="p"/>
          </m:rPr>
          <w:rPr>
            <w:rFonts w:ascii="Cambria Math" w:hAnsi="Cambria Math"/>
          </w:rPr>
          <m:t>.</m:t>
        </m:r>
      </m:oMath>
      <w:r w:rsidR="00F80F23">
        <w:t xml:space="preserve"> </w:t>
      </w:r>
    </w:p>
    <w:p w14:paraId="79794CAB" w14:textId="4B308512" w:rsidR="00E93E3E" w:rsidRDefault="00000000" w:rsidP="00BD26F1">
      <w:pPr>
        <w:pStyle w:val="FirstParagraph"/>
        <w:spacing w:before="240" w:after="0" w:line="480" w:lineRule="auto"/>
      </w:pPr>
      <w:r>
        <w:t xml:space="preserve">These are precisely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defined in equation (4); henceforth we use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Substituting into equation (</w:t>
      </w:r>
      <w:r w:rsidR="00E42E8E">
        <w:t>7)</w:t>
      </w:r>
      <w:r>
        <w:t>:</w:t>
      </w:r>
    </w:p>
    <w:p w14:paraId="3D7F4205" w14:textId="1346F176" w:rsidR="00E93E3E" w:rsidRPr="00202154" w:rsidRDefault="00000000" w:rsidP="00BD26F1">
      <w:pPr>
        <w:pStyle w:val="BodyText"/>
        <w:spacing w:before="240" w:after="0" w:line="480" w:lineRule="auto"/>
        <w:jc w:val="center"/>
      </w:pPr>
      <m:oMathPara>
        <m:oMathParaPr>
          <m:jc m:val="right"/>
        </m:oMathParaP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w:proofErr w:type="spellStart"/>
                  <m:r>
                    <m:rPr>
                      <m:nor/>
                    </m:rPr>
                    <m:t>ec</m:t>
                  </m:r>
                  <w:proofErr w:type="spellEnd"/>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λ</m:t>
                  </m:r>
                </m:e>
                <m:sub>
                  <m:r>
                    <w:rPr>
                      <w:rFonts w:ascii="Cambria Math" w:hAnsi="Cambria Math"/>
                    </w:rPr>
                    <m:t>it</m:t>
                  </m:r>
                </m:sub>
              </m:sSub>
            </m:e>
          </m:nary>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τ</m:t>
                  </m:r>
                </m:e>
                <m:sub>
                  <m:r>
                    <w:rPr>
                      <w:rFonts w:ascii="Cambria Math" w:hAnsi="Cambria Math"/>
                    </w:rPr>
                    <m:t>it</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9</m:t>
              </m:r>
            </m:e>
          </m:d>
        </m:oMath>
      </m:oMathPara>
    </w:p>
    <w:p w14:paraId="56148412" w14:textId="265C5F59" w:rsidR="00E93E3E" w:rsidRDefault="00000000" w:rsidP="00BD26F1">
      <w:pPr>
        <w:pStyle w:val="FirstParagraph"/>
        <w:spacing w:before="240" w:after="0" w:line="480" w:lineRule="auto"/>
      </w:pPr>
      <w:r>
        <w:t>The effects-coded latent factor</w:t>
      </w:r>
      <w:r w:rsidR="00664039">
        <w:t xml:space="preserve"> </w:t>
      </w: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w:proofErr w:type="spellStart"/>
                <m:r>
                  <m:rPr>
                    <m:nor/>
                  </m:rPr>
                  <m:t>ec</m:t>
                </m:r>
                <w:proofErr w:type="spellEnd"/>
              </m:e>
            </m:d>
          </m:sup>
        </m:sSubSup>
      </m:oMath>
      <w:r>
        <w:t xml:space="preserve"> is now achieved by linear transformation of the</w:t>
      </w:r>
      <w:r w:rsidR="00674F4B">
        <w:rPr>
          <w:rFonts w:hint="eastAsia"/>
          <w:lang w:eastAsia="ko-KR"/>
        </w:rPr>
        <w:t xml:space="preserve"> </w:t>
      </w:r>
      <w:r w:rsidR="00674F4B">
        <w:rPr>
          <w:lang w:eastAsia="ko-KR"/>
        </w:rPr>
        <w:t>latent</w:t>
      </w:r>
      <w:r>
        <w:t xml:space="preserve"> factor</w:t>
      </w:r>
      <w:r w:rsidR="00706C57">
        <w:t xml:space="preserve"> </w:t>
      </w:r>
      <m:oMath>
        <m:sSub>
          <m:sSubPr>
            <m:ctrlPr>
              <w:rPr>
                <w:rFonts w:ascii="Cambria Math" w:hAnsi="Cambria Math"/>
                <w:i/>
              </w:rPr>
            </m:ctrlPr>
          </m:sSubPr>
          <m:e>
            <m:r>
              <w:rPr>
                <w:rFonts w:ascii="Cambria Math" w:hAnsi="Cambria Math"/>
              </w:rPr>
              <m:t>η</m:t>
            </m:r>
          </m:e>
          <m:sub>
            <m:r>
              <w:rPr>
                <w:rFonts w:ascii="Cambria Math" w:hAnsi="Cambria Math"/>
              </w:rPr>
              <m:t>t</m:t>
            </m:r>
          </m:sub>
        </m:sSub>
      </m:oMath>
      <w:r w:rsidR="00706C57">
        <w:t xml:space="preserve"> </w:t>
      </w:r>
      <w:r>
        <w:t>from the generating model.</w:t>
      </w:r>
    </w:p>
    <w:p w14:paraId="6C1B809A" w14:textId="77777777" w:rsidR="00E93E3E" w:rsidRPr="00D54843" w:rsidRDefault="00000000" w:rsidP="00D54843">
      <w:pPr>
        <w:pStyle w:val="Heading2"/>
        <w:spacing w:before="360" w:after="58" w:line="360" w:lineRule="auto"/>
        <w:ind w:right="562"/>
        <w:rPr>
          <w:b/>
          <w:bCs/>
        </w:rPr>
      </w:pPr>
      <w:bookmarkStart w:id="7" w:name="linear-alignment-of-the-sum-score-1-lgcm"/>
      <w:bookmarkEnd w:id="6"/>
      <w:r w:rsidRPr="00D54843">
        <w:rPr>
          <w:b/>
          <w:bCs/>
        </w:rPr>
        <w:t>3.2 Linear Alignment of the Sum-Score 1-LGCM</w:t>
      </w:r>
    </w:p>
    <w:p w14:paraId="76217A85" w14:textId="1A7F37EA" w:rsidR="00E93E3E" w:rsidRDefault="00E42E8E" w:rsidP="00BD26F1">
      <w:pPr>
        <w:pStyle w:val="FirstParagraph"/>
        <w:spacing w:before="240" w:after="0" w:line="480" w:lineRule="auto"/>
      </w:pPr>
      <w:r>
        <w:t>Using the expression of sum scores from equation (5), t</w:t>
      </w:r>
      <w:r w:rsidR="00000000">
        <w:t xml:space="preserve">he conditional mean of sum scores given latent factor </w:t>
      </w:r>
      <w:r>
        <w:t xml:space="preserve">from generating model </w:t>
      </w:r>
      <w:r w:rsidR="00000000">
        <w:t>is written as</w:t>
      </w:r>
    </w:p>
    <w:p w14:paraId="7D6633C7" w14:textId="54881F07" w:rsidR="00E93E3E" w:rsidRPr="000A04D7" w:rsidRDefault="00000000" w:rsidP="00BD26F1">
      <w:pPr>
        <w:pStyle w:val="BodyText"/>
        <w:spacing w:before="240" w:after="0" w:line="480" w:lineRule="auto"/>
        <w:jc w:val="center"/>
      </w:pPr>
      <m:oMath>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τ</m:t>
                </m:r>
              </m:e>
              <m:sub>
                <m:r>
                  <w:rPr>
                    <w:rFonts w:ascii="Cambria Math" w:hAnsi="Cambria Math"/>
                  </w:rPr>
                  <m:t>it</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λ</m:t>
                </m:r>
              </m:e>
              <m:sub>
                <m:r>
                  <w:rPr>
                    <w:rFonts w:ascii="Cambria Math" w:hAnsi="Cambria Math"/>
                  </w:rPr>
                  <m:t>it</m:t>
                </m:r>
              </m:sub>
            </m:sSub>
          </m:e>
        </m:nary>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oMath>
      <w:r w:rsidR="00E42E8E">
        <w:t xml:space="preserve"> </w:t>
      </w:r>
    </w:p>
    <w:p w14:paraId="4BA1B273" w14:textId="77777777" w:rsidR="00455DF9" w:rsidRDefault="00000000" w:rsidP="00BD26F1">
      <w:pPr>
        <w:pStyle w:val="FirstParagraph"/>
        <w:spacing w:before="240" w:after="0" w:line="480" w:lineRule="auto"/>
      </w:pPr>
      <w:r>
        <w:t xml:space="preserve">where </w:t>
      </w: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oMath>
      <w:r>
        <w:t xml:space="preserve"> was defined in equation (</w:t>
      </w:r>
      <w:r w:rsidR="00E42E8E">
        <w:t>9</w:t>
      </w:r>
      <w:r>
        <w:t xml:space="preserve">). Then, the sum score can be decomposed as </w:t>
      </w:r>
    </w:p>
    <w:p w14:paraId="54DD560C" w14:textId="085853B4" w:rsidR="00E93E3E" w:rsidRDefault="00000000" w:rsidP="00BD26F1">
      <w:pPr>
        <w:pStyle w:val="FirstParagraph"/>
        <w:spacing w:before="240" w:after="0" w:line="480" w:lineRule="auto"/>
      </w:pPr>
      <m:oMathPara>
        <m:oMathParaPr>
          <m:jc m:val="right"/>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m:rPr>
                      <m:nor/>
                    </m:rPr>
                    <m:t>sum</m:t>
                  </m:r>
                </m:e>
              </m:d>
            </m:sup>
          </m:sSubSup>
          <m:r>
            <w:rPr>
              <w:rFonts w:ascii="Cambria Math" w:hAnsi="Cambria Math"/>
            </w:rPr>
            <m:t xml:space="preserve">.   </m:t>
          </m:r>
          <m:r>
            <w:rPr>
              <w:rFonts w:ascii="Cambria Math" w:hAnsi="Cambria Math"/>
            </w:rPr>
            <w:tab/>
            <m:t xml:space="preserve">                                                 </m:t>
          </m:r>
          <m:r>
            <w:rPr>
              <w:rFonts w:ascii="Cambria Math" w:hAnsi="Cambria Math"/>
            </w:rPr>
            <m:t xml:space="preserve"> (10</m:t>
          </m:r>
          <m:r>
            <w:rPr>
              <w:rFonts w:ascii="Cambria Math" w:hAnsi="Cambria Math"/>
            </w:rPr>
            <m:t>)</m:t>
          </m:r>
          <m:r>
            <w:br/>
          </m:r>
        </m:oMath>
      </m:oMathPara>
      <w:r>
        <w:t xml:space="preserve">In sum, the sum-score 1-LGCM recovers the EC-fitted latent scale </w:t>
      </w: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oMath>
      <w:r>
        <w:t xml:space="preserve"> rather than th</w:t>
      </w:r>
      <w:r w:rsidR="00E42E8E">
        <w:t>at</w:t>
      </w:r>
      <w:r>
        <w:t xml:space="preserve"> </w:t>
      </w:r>
      <w:r w:rsidR="00E42E8E">
        <w:t>from</w:t>
      </w:r>
      <w:r>
        <w:t xml:space="preserve"> the original generating factor </w:t>
      </w:r>
      <m:oMath>
        <m:sSub>
          <m:sSubPr>
            <m:ctrlPr>
              <w:rPr>
                <w:rFonts w:ascii="Cambria Math" w:hAnsi="Cambria Math"/>
                <w:i/>
              </w:rPr>
            </m:ctrlPr>
          </m:sSubPr>
          <m:e>
            <m:r>
              <w:rPr>
                <w:rFonts w:ascii="Cambria Math" w:hAnsi="Cambria Math"/>
              </w:rPr>
              <m:t>η</m:t>
            </m:r>
          </m:e>
          <m:sub>
            <m:r>
              <w:rPr>
                <w:rFonts w:ascii="Cambria Math" w:hAnsi="Cambria Math"/>
              </w:rPr>
              <m:t>t</m:t>
            </m:r>
          </m:sub>
        </m:sSub>
      </m:oMath>
      <w:r>
        <w:t>. That is how EC identification puts the 2-LGCM and the sum-score 1-LGCM on the same underlying scale.</w:t>
      </w:r>
    </w:p>
    <w:p w14:paraId="195D402F" w14:textId="4948583C" w:rsidR="00DA044E" w:rsidRPr="00D54843" w:rsidRDefault="00000000" w:rsidP="00D54843">
      <w:pPr>
        <w:pStyle w:val="Heading2"/>
        <w:spacing w:before="360" w:after="58" w:line="360" w:lineRule="auto"/>
        <w:ind w:right="562"/>
        <w:rPr>
          <w:b/>
          <w:bCs/>
        </w:rPr>
      </w:pPr>
      <w:bookmarkStart w:id="8" w:name="effects-coding-fitted-growth-parameter"/>
      <w:bookmarkEnd w:id="7"/>
      <w:r w:rsidRPr="00D54843">
        <w:rPr>
          <w:b/>
          <w:bCs/>
        </w:rPr>
        <w:lastRenderedPageBreak/>
        <w:t>3.3 Effects-Coding Fitted Growth Parameter</w:t>
      </w:r>
      <w:r w:rsidR="008D057E" w:rsidRPr="00D54843">
        <w:rPr>
          <w:b/>
          <w:bCs/>
        </w:rPr>
        <w:t>s</w:t>
      </w:r>
    </w:p>
    <w:p w14:paraId="52CF6D7D" w14:textId="1B9B02CC" w:rsidR="00E93E3E" w:rsidRDefault="00013139" w:rsidP="00BD26F1">
      <w:pPr>
        <w:pStyle w:val="FirstParagraph"/>
        <w:spacing w:before="240" w:after="0" w:line="480" w:lineRule="auto"/>
      </w:pPr>
      <w:r w:rsidRPr="00013139">
        <w:t>The latent variable of the EC-fitted model</w:t>
      </w:r>
      <w:r w:rsidRPr="00013139">
        <w:t xml:space="preserve"> </w:t>
      </w:r>
      <w:r w:rsidR="00000000">
        <w:t>(</w:t>
      </w: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oMath>
      <w:r w:rsidR="00000000">
        <w:t xml:space="preserve">) </w:t>
      </w:r>
      <w:r>
        <w:t>can be</w:t>
      </w:r>
      <w:r>
        <w:t xml:space="preserve"> </w:t>
      </w:r>
      <w:r>
        <w:t>expressed in terms of the generating-model growth factors (</w:t>
      </w:r>
      <m:oMath>
        <m:r>
          <m:rPr>
            <m:sty m:val="bi"/>
          </m:rPr>
          <w:rPr>
            <w:rFonts w:ascii="Cambria Math" w:hAnsi="Cambria Math"/>
          </w:rPr>
          <m:t>ξ</m:t>
        </m:r>
      </m:oMath>
      <w:r>
        <w:t>)</w:t>
      </w:r>
      <w:r>
        <w:t xml:space="preserve"> </w:t>
      </w:r>
      <w:r>
        <w:t>in two ways. First, combining the factor-level transformation in</w:t>
      </w:r>
      <w:r>
        <w:t xml:space="preserve"> </w:t>
      </w:r>
      <w:r>
        <w:t>Equation</w:t>
      </w:r>
      <w:r>
        <w:t xml:space="preserve"> </w:t>
      </w:r>
      <w:r>
        <w:t>(9) with the generating growth model in Equation</w:t>
      </w:r>
      <w:r>
        <w:t xml:space="preserve"> </w:t>
      </w:r>
      <w:r>
        <w:t>(3)</w:t>
      </w:r>
      <w:r w:rsidRPr="00013139">
        <w:t xml:space="preserve"> </w:t>
      </w:r>
      <w:r w:rsidRPr="00013139">
        <w:t xml:space="preserve">and letting </w:t>
      </w:r>
      <m:oMath>
        <m:sSub>
          <m:sSubPr>
            <m:ctrlPr>
              <w:rPr>
                <w:rFonts w:ascii="Cambria Math" w:hAnsi="Cambria Math"/>
              </w:rPr>
            </m:ctrlPr>
          </m:sSubPr>
          <m:e>
            <m:r>
              <m:rPr>
                <m:sty m:val="b"/>
              </m:rPr>
              <w:rPr>
                <w:rFonts w:ascii="Cambria Math" w:hAnsi="Cambria Math"/>
              </w:rPr>
              <m:t>b</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 t-1</m:t>
            </m:r>
          </m:e>
        </m:d>
      </m:oMath>
      <w:r w:rsidRPr="00013139">
        <w:t xml:space="preserve"> denote the </w:t>
      </w:r>
      <m:oMath>
        <m:r>
          <w:rPr>
            <w:rFonts w:ascii="Cambria Math" w:hAnsi="Cambria Math"/>
          </w:rPr>
          <m:t>t</m:t>
        </m:r>
      </m:oMath>
      <w:r w:rsidRPr="00013139">
        <w:t xml:space="preserve">-th row of </w:t>
      </w:r>
      <m:oMath>
        <m:r>
          <m:rPr>
            <m:sty m:val="b"/>
          </m:rPr>
          <w:rPr>
            <w:rFonts w:ascii="Cambria Math" w:hAnsi="Cambria Math"/>
          </w:rPr>
          <m:t>B</m:t>
        </m:r>
      </m:oMath>
      <w:r w:rsidRPr="00013139">
        <w:t>, we obtain</w:t>
      </w:r>
      <w:r>
        <w:br/>
      </w:r>
      <m:oMathPara>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sty m:val="p"/>
                    </m:rPr>
                    <w:rPr>
                      <w:rFonts w:ascii="Cambria Math" w:hAnsi="Cambria Math"/>
                    </w:rPr>
                    <m:t>ec</m:t>
                  </m:r>
                </m:e>
              </m:d>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b</m:t>
                  </m:r>
                </m:e>
                <m:sub>
                  <m:r>
                    <w:rPr>
                      <w:rFonts w:ascii="Cambria Math" w:hAnsi="Cambria Math"/>
                    </w:rPr>
                    <m:t>t</m:t>
                  </m:r>
                </m:sub>
              </m:sSub>
              <m:r>
                <w:rPr>
                  <w:rFonts w:ascii="Cambria Math" w:hAnsi="Cambria Math"/>
                </w:rPr>
                <m:t>'</m:t>
              </m:r>
              <m:r>
                <m:rPr>
                  <m:sty m:val="bi"/>
                </m:rPr>
                <w:rPr>
                  <w:rFonts w:ascii="Cambria Math" w:hAnsi="Cambria Math"/>
                </w:rPr>
                <m:t>ξ</m:t>
              </m:r>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br/>
          </m:r>
        </m:oMath>
      </m:oMathPara>
      <w:r w:rsidRPr="00013139">
        <w:t>where the coefficient on the growth factors</w:t>
      </w:r>
      <w:r w:rsidR="00D22F2D">
        <w:rPr>
          <w:rFonts w:hint="eastAsia"/>
          <w:lang w:eastAsia="ko-KR"/>
        </w:rPr>
        <w:t xml:space="preserve"> </w:t>
      </w:r>
      <m:oMath>
        <m:r>
          <m:rPr>
            <m:sty m:val="b"/>
          </m:rPr>
          <w:rPr>
            <w:rFonts w:ascii="Cambria Math" w:hAnsi="Cambria Math"/>
          </w:rPr>
          <m:t>ξ</m:t>
        </m:r>
      </m:oMath>
      <w:r w:rsidRPr="00013139">
        <w:t xml:space="preserve"> is </w:t>
      </w:r>
      <m:oMath>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m:rPr>
                <m:sty m:val="b"/>
              </m:rPr>
              <w:rPr>
                <w:rFonts w:ascii="Cambria Math" w:hAnsi="Cambria Math"/>
              </w:rPr>
              <m:t>b</m:t>
            </m:r>
          </m:e>
          <m:sub>
            <m:r>
              <w:rPr>
                <w:rFonts w:ascii="Cambria Math" w:hAnsi="Cambria Math"/>
              </w:rPr>
              <m:t>t</m:t>
            </m:r>
          </m:sub>
        </m:sSub>
        <m:r>
          <w:rPr>
            <w:rFonts w:ascii="Cambria Math" w:hAnsi="Cambria Math"/>
          </w:rPr>
          <m:t>'</m:t>
        </m:r>
      </m:oMath>
      <w:r w:rsidRPr="00013139">
        <w:t xml:space="preserve">. </w:t>
      </w:r>
      <w:r w:rsidR="00000000">
        <w:t>On the other hand, if the EC growth factors</w:t>
      </w:r>
      <w:r w:rsidR="00E01F8D">
        <w:t xml:space="preserve"> (</w:t>
      </w:r>
      <m:oMath>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oMath>
      <w:r w:rsidR="00E01F8D">
        <w:t>)</w:t>
      </w:r>
      <w:r w:rsidR="00000000">
        <w:t xml:space="preserve"> could be assumed to be a linear transformation of the generating growth factors, let</w:t>
      </w:r>
    </w:p>
    <w:p w14:paraId="7AA833A4" w14:textId="39B4BADF" w:rsidR="00E93E3E" w:rsidRPr="00C87183" w:rsidRDefault="00000000" w:rsidP="00BD26F1">
      <w:pPr>
        <w:pStyle w:val="BodyText"/>
        <w:spacing w:before="240" w:after="0" w:line="480" w:lineRule="auto"/>
      </w:pPr>
      <m:oMathPara>
        <m:oMathParaPr>
          <m:jc m:val="right"/>
        </m:oMathParaPr>
        <m:oMath>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r>
            <m:rPr>
              <m:sty m:val="p"/>
            </m:rPr>
            <w:rPr>
              <w:rFonts w:ascii="Cambria Math" w:hAnsi="Cambria Math"/>
            </w:rPr>
            <m:t>=</m:t>
          </m:r>
          <m:r>
            <m:rPr>
              <m:sty m:val="b"/>
            </m:rPr>
            <w:rPr>
              <w:rFonts w:ascii="Cambria Math" w:hAnsi="Cambria Math"/>
            </w:rPr>
            <m:t>M</m:t>
          </m:r>
          <m:r>
            <w:rPr>
              <w:rFonts w:ascii="Cambria Math" w:hAnsi="Cambria Math"/>
            </w:rPr>
            <m:t> </m:t>
          </m:r>
          <m:r>
            <m:rPr>
              <m:sty m:val="b"/>
            </m:rPr>
            <w:rPr>
              <w:rFonts w:ascii="Cambria Math" w:hAnsi="Cambria Math"/>
            </w:rPr>
            <m:t>ξ</m:t>
          </m:r>
          <m:r>
            <m:rPr>
              <m:sty m:val="p"/>
            </m:rPr>
            <w:rPr>
              <w:rFonts w:ascii="Cambria Math" w:hAnsi="Cambria Math"/>
            </w:rPr>
            <m:t>+</m:t>
          </m:r>
          <m:r>
            <m:rPr>
              <m:sty m:val="b"/>
            </m:rP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1</m:t>
              </m:r>
              <m:r>
                <w:rPr>
                  <w:rFonts w:ascii="Cambria Math" w:hAnsi="Cambria Math"/>
                </w:rPr>
                <m:t>1</m:t>
              </m:r>
            </m:e>
          </m:d>
        </m:oMath>
      </m:oMathPara>
    </w:p>
    <w:p w14:paraId="21D2159D" w14:textId="77777777" w:rsidR="00E93E3E" w:rsidRDefault="00000000" w:rsidP="00BD26F1">
      <w:pPr>
        <w:pStyle w:val="FirstParagraph"/>
        <w:spacing w:before="240" w:after="0" w:line="480" w:lineRule="auto"/>
      </w:pPr>
      <w:r>
        <w:t>then the EC growth model gives</w:t>
      </w:r>
    </w:p>
    <w:p w14:paraId="1393E541" w14:textId="6947E3C9" w:rsidR="00E93E3E" w:rsidRDefault="00000000" w:rsidP="00BD26F1">
      <w:pPr>
        <w:pStyle w:val="BodyText"/>
        <w:spacing w:before="240" w:after="0" w:line="480" w:lineRule="auto"/>
      </w:pPr>
      <m:oMathPara>
        <m:oMathParaPr>
          <m:jc m:val="center"/>
        </m:oMathParaP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r>
            <m:rPr>
              <m:sty m:val="p"/>
            </m:rP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b"/>
                </m:rPr>
                <w:rPr>
                  <w:rFonts w:ascii="Cambria Math" w:hAnsi="Cambria Math"/>
                </w:rPr>
                <m:t>M</m:t>
              </m:r>
              <m:r>
                <w:rPr>
                  <w:rFonts w:ascii="Cambria Math" w:hAnsi="Cambria Math"/>
                </w:rPr>
                <m:t> </m:t>
              </m:r>
              <m:r>
                <m:rPr>
                  <m:sty m:val="b"/>
                </m:rPr>
                <w:rPr>
                  <w:rFonts w:ascii="Cambria Math" w:hAnsi="Cambria Math"/>
                </w:rPr>
                <m:t>ξ</m:t>
              </m:r>
              <m:r>
                <m:rPr>
                  <m:sty m:val="p"/>
                </m:rPr>
                <w:rPr>
                  <w:rFonts w:ascii="Cambria Math" w:hAnsi="Cambria Math"/>
                </w:rPr>
                <m:t>+</m:t>
              </m:r>
              <m:r>
                <m:rPr>
                  <m:sty m:val="b"/>
                </m:rPr>
                <w:rPr>
                  <w:rFonts w:ascii="Cambria Math" w:hAnsi="Cambria Math"/>
                </w:rPr>
                <m:t>d</m:t>
              </m:r>
            </m:e>
          </m:d>
          <m:r>
            <m:rPr>
              <m:sty m:val="p"/>
            </m:rP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oMath>
      </m:oMathPara>
    </w:p>
    <w:p w14:paraId="2BCEB173" w14:textId="7B046B92" w:rsidR="00E93E3E" w:rsidRDefault="001135A5" w:rsidP="00BD26F1">
      <w:pPr>
        <w:pStyle w:val="FirstParagraph"/>
        <w:spacing w:before="240" w:after="0" w:line="480" w:lineRule="auto"/>
        <w:rPr>
          <w:rFonts w:hint="eastAsia"/>
          <w:lang w:eastAsia="ko-KR"/>
        </w:rPr>
      </w:pPr>
      <w:r w:rsidRPr="001135A5">
        <w:t>Here the coefficient on</w:t>
      </w:r>
      <w:r>
        <w:rPr>
          <w:rFonts w:hint="eastAsia"/>
          <w:lang w:eastAsia="ko-KR"/>
        </w:rPr>
        <w:t xml:space="preserve"> </w:t>
      </w:r>
      <m:oMath>
        <m:r>
          <m:rPr>
            <m:sty m:val="b"/>
          </m:rPr>
          <w:rPr>
            <w:rFonts w:ascii="Cambria Math" w:hAnsi="Cambria Math"/>
          </w:rPr>
          <m:t>ξ</m:t>
        </m:r>
      </m:oMath>
      <w:r w:rsidR="00000000">
        <w:t xml:space="preserve"> is </w:t>
      </w:r>
      <m:oMath>
        <m:sSub>
          <m:sSubPr>
            <m:ctrlPr>
              <w:rPr>
                <w:rFonts w:ascii="Cambria Math" w:hAnsi="Cambria Math"/>
              </w:rPr>
            </m:ctrlPr>
          </m:sSubPr>
          <m:e>
            <m:r>
              <m:rPr>
                <m:sty m:val="b"/>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 </m:t>
        </m:r>
        <m:r>
          <m:rPr>
            <m:sty m:val="b"/>
          </m:rPr>
          <w:rPr>
            <w:rFonts w:ascii="Cambria Math" w:hAnsi="Cambria Math"/>
          </w:rPr>
          <m:t>M</m:t>
        </m:r>
      </m:oMath>
      <w:r w:rsidR="00000000">
        <w:t xml:space="preserve">. Because both expressions represent the same </w:t>
      </w:r>
      <m:oMath>
        <m:sSubSup>
          <m:sSubSupPr>
            <m:ctrlPr>
              <w:rPr>
                <w:rFonts w:ascii="Cambria Math" w:hAnsi="Cambria Math"/>
              </w:rPr>
            </m:ctrlPr>
          </m:sSubSupPr>
          <m:e>
            <m:r>
              <w:rPr>
                <w:rFonts w:ascii="Cambria Math" w:hAnsi="Cambria Math"/>
              </w:rPr>
              <m:t>η</m:t>
            </m:r>
          </m:e>
          <m:sub>
            <m:r>
              <w:rPr>
                <w:rFonts w:ascii="Cambria Math" w:hAnsi="Cambria Math"/>
              </w:rPr>
              <m:t>t</m:t>
            </m:r>
          </m:sub>
          <m:sup>
            <m:d>
              <m:dPr>
                <m:ctrlPr>
                  <w:rPr>
                    <w:rFonts w:ascii="Cambria Math" w:hAnsi="Cambria Math"/>
                  </w:rPr>
                </m:ctrlPr>
              </m:dPr>
              <m:e>
                <m:r>
                  <m:rPr>
                    <m:nor/>
                  </m:rPr>
                  <m:t>ec</m:t>
                </m:r>
              </m:e>
            </m:d>
          </m:sup>
        </m:sSubSup>
      </m:oMath>
      <w:r>
        <w:rPr>
          <w:rFonts w:hint="eastAsia"/>
          <w:lang w:eastAsia="ko-KR"/>
        </w:rPr>
        <w:t>,</w:t>
      </w:r>
      <w:r w:rsidR="00000000">
        <w:t xml:space="preserve"> and the growth factors </w:t>
      </w:r>
      <m:oMath>
        <m:r>
          <m:rPr>
            <m:sty m:val="b"/>
          </m:rPr>
          <w:rPr>
            <w:rFonts w:ascii="Cambria Math" w:hAnsi="Cambria Math"/>
          </w:rPr>
          <m:t>ξ</m:t>
        </m:r>
      </m:oMath>
      <w:r w:rsidR="00000000">
        <w:t xml:space="preserve"> are independent of the disturbances </w:t>
      </w:r>
      <m:oMath>
        <m:sSub>
          <m:sSubPr>
            <m:ctrlPr>
              <w:rPr>
                <w:rFonts w:ascii="Cambria Math" w:hAnsi="Cambria Math"/>
                <w:i/>
              </w:rPr>
            </m:ctrlPr>
          </m:sSubPr>
          <m:e>
            <m:r>
              <w:rPr>
                <w:rFonts w:ascii="Cambria Math" w:hAnsi="Cambria Math"/>
              </w:rPr>
              <m:t>ζ</m:t>
            </m:r>
          </m:e>
          <m:sub>
            <m:r>
              <w:rPr>
                <w:rFonts w:ascii="Cambria Math" w:hAnsi="Cambria Math"/>
              </w:rPr>
              <m:t>t</m:t>
            </m:r>
          </m:sub>
        </m:sSub>
      </m:oMath>
      <w:r w:rsidR="00000000">
        <w:t xml:space="preserve">, equating the coefficients on </w:t>
      </w:r>
      <m:oMath>
        <m:r>
          <m:rPr>
            <m:sty m:val="b"/>
          </m:rPr>
          <w:rPr>
            <w:rFonts w:ascii="Cambria Math" w:hAnsi="Cambria Math"/>
          </w:rPr>
          <m:t>ξ</m:t>
        </m:r>
      </m:oMath>
      <w:r w:rsidR="00E01F8D">
        <w:t xml:space="preserve"> </w:t>
      </w:r>
      <w:r w:rsidR="00000000">
        <w:t>across the two sides yields, in matrix form</w:t>
      </w:r>
    </w:p>
    <w:p w14:paraId="337A6384" w14:textId="44DC5E2C" w:rsidR="00E93E3E" w:rsidRPr="00013139" w:rsidRDefault="00000000" w:rsidP="00BD26F1">
      <w:pPr>
        <w:pStyle w:val="BodyText"/>
        <w:spacing w:before="240" w:after="0" w:line="480" w:lineRule="auto"/>
      </w:pPr>
      <m:oMathPara>
        <m:oMathParaPr>
          <m:jc m:val="right"/>
        </m:oMathParaPr>
        <m:oMath>
          <m:r>
            <m:rPr>
              <m:sty m:val="b"/>
            </m:rPr>
            <w:rPr>
              <w:rFonts w:ascii="Cambria Math" w:hAnsi="Cambria Math"/>
            </w:rPr>
            <m:t>B</m:t>
          </m:r>
          <m:r>
            <w:rPr>
              <w:rFonts w:ascii="Cambria Math" w:hAnsi="Cambria Math"/>
            </w:rPr>
            <m:t> </m:t>
          </m:r>
          <m:r>
            <m:rPr>
              <m:sty m:val="b"/>
            </m:rPr>
            <w:rPr>
              <w:rFonts w:ascii="Cambria Math" w:hAnsi="Cambria Math"/>
            </w:rPr>
            <m:t>M</m:t>
          </m:r>
          <m:r>
            <m:rPr>
              <m:sty m:val="p"/>
            </m:rPr>
            <w:rPr>
              <w:rFonts w:ascii="Cambria Math" w:hAnsi="Cambria Math"/>
            </w:rPr>
            <m:t>=</m:t>
          </m:r>
          <m:r>
            <m:rPr>
              <m:sty m:val="b"/>
            </m:rPr>
            <w:rPr>
              <w:rFonts w:ascii="Cambria Math" w:hAnsi="Cambria Math"/>
            </w:rPr>
            <m:t>A</m:t>
          </m:r>
          <m:r>
            <w:rPr>
              <w:rFonts w:ascii="Cambria Math" w:hAnsi="Cambria Math"/>
            </w:rPr>
            <m:t> </m:t>
          </m:r>
          <m:r>
            <m:rPr>
              <m:sty m:val="b"/>
            </m:rPr>
            <w:rPr>
              <w:rFonts w:ascii="Cambria Math" w:hAnsi="Cambria Math"/>
            </w:rPr>
            <m:t>B</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1</m:t>
              </m:r>
              <m:r>
                <w:rPr>
                  <w:rFonts w:ascii="Cambria Math" w:hAnsi="Cambria Math"/>
                </w:rPr>
                <m:t>2</m:t>
              </m:r>
            </m:e>
          </m:d>
        </m:oMath>
      </m:oMathPara>
    </w:p>
    <w:p w14:paraId="79489784" w14:textId="52B4358C" w:rsidR="00E93E3E" w:rsidRDefault="00000000" w:rsidP="00BD26F1">
      <w:pPr>
        <w:pStyle w:val="FirstParagraph"/>
        <w:spacing w:before="240" w:after="0" w:line="480" w:lineRule="auto"/>
        <w:rPr>
          <w:rFonts w:hint="eastAsia"/>
          <w:lang w:eastAsia="ko-KR"/>
        </w:rPr>
      </w:pPr>
      <w:r>
        <w:t xml:space="preserve">where </w:t>
      </w:r>
      <m:oMath>
        <m:r>
          <m:rPr>
            <m:sty m:val="b"/>
          </m:rPr>
          <w:rPr>
            <w:rFonts w:ascii="Cambria Math" w:hAnsi="Cambria Math"/>
          </w:rPr>
          <m:t>A</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w:t>
      </w:r>
      <w:r w:rsidR="001135A5">
        <w:rPr>
          <w:lang w:eastAsia="ko-KR"/>
        </w:rPr>
        <w:t>Applying t</w:t>
      </w:r>
      <w:r>
        <w:t xml:space="preserve">he same logic to the location parameters yields </w:t>
      </w:r>
      <m:oMath>
        <m:r>
          <m:rPr>
            <m:sty m:val="b"/>
          </m:rPr>
          <w:rPr>
            <w:rFonts w:ascii="Cambria Math" w:hAnsi="Cambria Math"/>
          </w:rPr>
          <m:t>B</m:t>
        </m:r>
        <m:r>
          <w:rPr>
            <w:rFonts w:ascii="Cambria Math" w:hAnsi="Cambria Math"/>
          </w:rPr>
          <m:t> </m:t>
        </m:r>
        <m:r>
          <m:rPr>
            <m:sty m:val="b"/>
          </m:rPr>
          <w:rPr>
            <w:rFonts w:ascii="Cambria Math" w:hAnsi="Cambria Math"/>
          </w:rPr>
          <m:t>d</m:t>
        </m:r>
        <m:r>
          <m:rPr>
            <m:sty m:val="p"/>
          </m:rPr>
          <w:rPr>
            <w:rFonts w:ascii="Cambria Math" w:hAnsi="Cambria Math"/>
          </w:rPr>
          <m:t>=</m:t>
        </m:r>
        <m:r>
          <m:rPr>
            <m:sty m:val="b"/>
          </m:rPr>
          <w:rPr>
            <w:rFonts w:ascii="Cambria Math" w:hAnsi="Cambria Math"/>
          </w:rPr>
          <m:t>c</m:t>
        </m:r>
      </m:oMath>
      <w:r>
        <w:t xml:space="preserve">, where </w:t>
      </w:r>
      <m:oMath>
        <m:r>
          <m:rPr>
            <m:sty m:val="b"/>
          </m:rP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w:r>
        <w:t xml:space="preserve"> collects the wave-specific location shifts, </w:t>
      </w:r>
      <w:r w:rsidR="001135A5">
        <w:t>while</w:t>
      </w:r>
      <w:r>
        <w:t xml:space="preserve"> the disturbance</w:t>
      </w:r>
      <w:r w:rsidR="001135A5">
        <w:t xml:space="preserve">s satisfy </w:t>
      </w:r>
      <m:oMath>
        <m:sSubSup>
          <m:sSubSupPr>
            <m:ctrlPr>
              <w:rPr>
                <w:rFonts w:ascii="Cambria Math" w:hAnsi="Cambria Math"/>
              </w:rPr>
            </m:ctrlPr>
          </m:sSubSupPr>
          <m:e>
            <m:r>
              <w:rPr>
                <w:rFonts w:ascii="Cambria Math" w:hAnsi="Cambria Math"/>
              </w:rPr>
              <m:t>ζ</m:t>
            </m:r>
          </m:e>
          <m:sub>
            <m:r>
              <w:rPr>
                <w:rFonts w:ascii="Cambria Math" w:hAnsi="Cambria Math"/>
              </w:rPr>
              <m:t>t</m:t>
            </m:r>
          </m:sub>
          <m:sup>
            <m:d>
              <m:dPr>
                <m:ctrlPr>
                  <w:rPr>
                    <w:rFonts w:ascii="Cambria Math" w:hAnsi="Cambria Math"/>
                  </w:rPr>
                </m:ctrlPr>
              </m:dPr>
              <m:e>
                <m:r>
                  <m:rPr>
                    <m:nor/>
                  </m:rPr>
                  <m:t>ec</m:t>
                </m:r>
              </m:e>
            </m:d>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ζ</m:t>
            </m:r>
          </m:e>
          <m:sub>
            <m:r>
              <w:rPr>
                <w:rFonts w:ascii="Cambria Math" w:hAnsi="Cambria Math"/>
              </w:rPr>
              <m:t>t</m:t>
            </m:r>
          </m:sub>
        </m:sSub>
      </m:oMath>
      <w:r>
        <w:t>.</w:t>
      </w:r>
    </w:p>
    <w:p w14:paraId="70E9979D" w14:textId="301EA8D2" w:rsidR="00E93E3E" w:rsidRDefault="00000000" w:rsidP="00F514E5">
      <w:pPr>
        <w:pStyle w:val="BodyText"/>
        <w:spacing w:before="240" w:after="0" w:line="480" w:lineRule="auto"/>
        <w:ind w:firstLine="720"/>
      </w:pPr>
      <w:r>
        <w:lastRenderedPageBreak/>
        <w:t>Under</w:t>
      </w:r>
      <w:r w:rsidR="008D057E">
        <w:t xml:space="preserve"> the </w:t>
      </w:r>
      <w:r w:rsidR="00915E1F">
        <w:t xml:space="preserve">strong </w:t>
      </w:r>
      <w:r>
        <w:t>invariance</w:t>
      </w:r>
      <w:r w:rsidR="008D057E">
        <w:t xml:space="preserve"> assumption</w:t>
      </w:r>
      <w:r>
        <w:t xml:space="preserve">, </w:t>
      </w:r>
      <m:oMath>
        <m:sSub>
          <m:sSubPr>
            <m:ctrlPr>
              <w:rPr>
                <w:rFonts w:ascii="Cambria Math" w:hAnsi="Cambria Math"/>
              </w:rPr>
            </m:ctrlPr>
          </m:sSubPr>
          <m:e>
            <m:r>
              <m:rPr>
                <m:sty m:val="b"/>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Λ</m:t>
        </m:r>
      </m:oMath>
      <w:r>
        <w:t xml:space="preserve"> and </w:t>
      </w:r>
      <m:oMath>
        <m:sSub>
          <m:sSubPr>
            <m:ctrlPr>
              <w:rPr>
                <w:rFonts w:ascii="Cambria Math" w:hAnsi="Cambria Math"/>
              </w:rPr>
            </m:ctrlPr>
          </m:sSubPr>
          <m:e>
            <m:r>
              <m:rPr>
                <m:sty m:val="b"/>
              </m:rPr>
              <w:rPr>
                <w:rFonts w:ascii="Cambria Math" w:hAnsi="Cambria Math"/>
              </w:rPr>
              <m:t>τ</m:t>
            </m:r>
          </m:e>
          <m:sub>
            <m:r>
              <w:rPr>
                <w:rFonts w:ascii="Cambria Math" w:hAnsi="Cambria Math"/>
              </w:rPr>
              <m:t>t</m:t>
            </m:r>
          </m:sub>
        </m:sSub>
        <m:r>
          <m:rPr>
            <m:sty m:val="p"/>
          </m:rPr>
          <w:rPr>
            <w:rFonts w:ascii="Cambria Math" w:hAnsi="Cambria Math"/>
          </w:rPr>
          <m:t>=</m:t>
        </m:r>
        <m:r>
          <m:rPr>
            <m:sty m:val="b"/>
          </m:rPr>
          <w:rPr>
            <w:rFonts w:ascii="Cambria Math" w:hAnsi="Cambria Math"/>
          </w:rPr>
          <m:t>τ</m:t>
        </m:r>
      </m:oMath>
      <w:r>
        <w:t xml:space="preserve"> for all </w:t>
      </w:r>
      <m:oMath>
        <m:r>
          <w:rPr>
            <w:rFonts w:ascii="Cambria Math" w:hAnsi="Cambria Math"/>
          </w:rPr>
          <m:t>t</m:t>
        </m:r>
      </m:oMath>
      <w:r>
        <w:t xml:space="preserve">, so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c</m:t>
        </m:r>
      </m:oMath>
      <w:r>
        <w:t xml:space="preserve"> (constant). Then, the </w:t>
      </w:r>
      <w:r w:rsidR="00680038">
        <w:rPr>
          <w:lang w:eastAsia="ko-KR"/>
        </w:rPr>
        <w:t>E</w:t>
      </w:r>
      <w:r>
        <w:t>quation (1</w:t>
      </w:r>
      <w:r w:rsidR="00455DF9">
        <w:rPr>
          <w:rFonts w:hint="eastAsia"/>
          <w:lang w:eastAsia="ko-KR"/>
        </w:rPr>
        <w:t>2</w:t>
      </w:r>
      <w:r>
        <w:t xml:space="preserve">) becomes </w:t>
      </w:r>
      <m:oMath>
        <m:r>
          <m:rPr>
            <m:sty m:val="b"/>
          </m:rPr>
          <w:rPr>
            <w:rFonts w:ascii="Cambria Math" w:hAnsi="Cambria Math"/>
          </w:rPr>
          <m:t>BM</m:t>
        </m:r>
        <m:r>
          <m:rPr>
            <m:sty m:val="p"/>
          </m:rPr>
          <w:rPr>
            <w:rFonts w:ascii="Cambria Math" w:hAnsi="Cambria Math"/>
          </w:rPr>
          <m:t>=</m:t>
        </m:r>
        <m:r>
          <w:rPr>
            <w:rFonts w:ascii="Cambria Math" w:hAnsi="Cambria Math"/>
          </w:rPr>
          <m:t>a</m:t>
        </m:r>
        <m:r>
          <m:rPr>
            <m:sty m:val="b"/>
          </m:rPr>
          <w:rPr>
            <w:rFonts w:ascii="Cambria Math" w:hAnsi="Cambria Math"/>
          </w:rPr>
          <m:t>B</m:t>
        </m:r>
      </m:oMath>
      <w:r>
        <w:t xml:space="preserve">, which is uniquely satisfied by </w:t>
      </w:r>
      <m:oMath>
        <m:r>
          <m:rPr>
            <m:sty m:val="b"/>
          </m:rPr>
          <w:rPr>
            <w:rFonts w:ascii="Cambria Math" w:hAnsi="Cambria Math"/>
          </w:rPr>
          <m:t>M</m:t>
        </m:r>
        <m:r>
          <m:rPr>
            <m:sty m:val="p"/>
          </m:rPr>
          <w:rPr>
            <w:rFonts w:ascii="Cambria Math" w:hAnsi="Cambria Math"/>
          </w:rPr>
          <m:t>=</m:t>
        </m:r>
        <m:r>
          <w:rPr>
            <w:rFonts w:ascii="Cambria Math" w:hAnsi="Cambria Math"/>
          </w:rPr>
          <m:t>a</m:t>
        </m:r>
        <m:sSub>
          <m:sSubPr>
            <m:ctrlPr>
              <w:rPr>
                <w:rFonts w:ascii="Cambria Math" w:hAnsi="Cambria Math"/>
              </w:rPr>
            </m:ctrlPr>
          </m:sSubPr>
          <m:e>
            <m:r>
              <m:rPr>
                <m:sty m:val="b"/>
              </m:rPr>
              <w:rPr>
                <w:rFonts w:ascii="Cambria Math" w:hAnsi="Cambria Math"/>
              </w:rPr>
              <m:t>I</m:t>
            </m:r>
          </m:e>
          <m:sub>
            <m:r>
              <w:rPr>
                <w:rFonts w:ascii="Cambria Math" w:hAnsi="Cambria Math"/>
              </w:rPr>
              <m:t>2</m:t>
            </m:r>
          </m:sub>
        </m:sSub>
      </m:oMath>
      <w:r w:rsidR="00E652DE">
        <w:rPr>
          <w:rFonts w:hint="eastAsia"/>
          <w:lang w:eastAsia="ko-KR"/>
        </w:rPr>
        <w:t xml:space="preserve"> </w:t>
      </w:r>
      <w:r w:rsidR="00E652DE">
        <w:rPr>
          <w:lang w:eastAsia="ko-KR"/>
        </w:rPr>
        <w:t xml:space="preserve">because </w:t>
      </w:r>
      <m:oMath>
        <m:r>
          <m:rPr>
            <m:sty m:val="b"/>
          </m:rPr>
          <w:rPr>
            <w:rFonts w:ascii="Cambria Math" w:hAnsi="Cambria Math"/>
          </w:rPr>
          <m:t>B</m:t>
        </m:r>
      </m:oMath>
      <w:r w:rsidR="00E652DE">
        <w:rPr>
          <w:b/>
        </w:rPr>
        <w:t xml:space="preserve"> </w:t>
      </w:r>
      <w:r w:rsidR="00E652DE">
        <w:rPr>
          <w:bCs/>
        </w:rPr>
        <w:t>is a full column rank</w:t>
      </w:r>
      <w:r>
        <w:t xml:space="preserve">. Likewise, the location equation reduces to </w:t>
      </w:r>
      <m:oMath>
        <m:r>
          <m:rPr>
            <m:sty m:val="b"/>
          </m:rPr>
          <w:rPr>
            <w:rFonts w:ascii="Cambria Math" w:hAnsi="Cambria Math"/>
          </w:rPr>
          <m:t>B</m:t>
        </m:r>
        <m:r>
          <w:rPr>
            <w:rFonts w:ascii="Cambria Math" w:hAnsi="Cambria Math"/>
          </w:rPr>
          <m:t> </m:t>
        </m:r>
        <m:r>
          <m:rPr>
            <m:sty m:val="b"/>
          </m:rPr>
          <w:rPr>
            <w:rFonts w:ascii="Cambria Math" w:hAnsi="Cambria Math"/>
          </w:rPr>
          <m:t>d</m:t>
        </m:r>
        <m:r>
          <m:rPr>
            <m:sty m:val="p"/>
          </m:rPr>
          <w:rPr>
            <w:rFonts w:ascii="Cambria Math" w:hAnsi="Cambria Math"/>
          </w:rPr>
          <m:t>=</m:t>
        </m:r>
        <m:r>
          <w:rPr>
            <w:rFonts w:ascii="Cambria Math" w:hAnsi="Cambria Math"/>
          </w:rPr>
          <m:t>c</m:t>
        </m:r>
        <m:sSub>
          <m:sSubPr>
            <m:ctrlPr>
              <w:rPr>
                <w:rFonts w:ascii="Cambria Math" w:hAnsi="Cambria Math"/>
              </w:rPr>
            </m:ctrlPr>
          </m:sSubPr>
          <m:e>
            <m:r>
              <m:rPr>
                <m:sty m:val="b"/>
              </m:rPr>
              <w:rPr>
                <w:rFonts w:ascii="Cambria Math" w:hAnsi="Cambria Math"/>
              </w:rPr>
              <m:t>1</m:t>
            </m:r>
          </m:e>
          <m:sub>
            <m:r>
              <w:rPr>
                <w:rFonts w:ascii="Cambria Math" w:hAnsi="Cambria Math"/>
              </w:rPr>
              <m:t>T</m:t>
            </m:r>
          </m:sub>
        </m:sSub>
      </m:oMath>
      <w:r>
        <w:t xml:space="preserve">, whose unique solution is </w:t>
      </w:r>
      <m:oMath>
        <m:r>
          <m:rPr>
            <m:sty m:val="b"/>
          </m:rP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 0</m:t>
            </m:r>
          </m:e>
        </m:d>
        <m:r>
          <m:rPr>
            <m:sty m:val="p"/>
          </m:rPr>
          <w:rPr>
            <w:rFonts w:ascii="Cambria Math" w:hAnsi="Cambria Math"/>
          </w:rPr>
          <m:t>'</m:t>
        </m:r>
      </m:oMath>
      <w:r>
        <w:t xml:space="preserve">. </w:t>
      </w:r>
      <w:r w:rsidR="00A83121" w:rsidRPr="00A83121">
        <w:t>With this specialized form of</w:t>
      </w:r>
      <w:r w:rsidR="00A83121" w:rsidRPr="00A83121">
        <w:t xml:space="preserve"> </w:t>
      </w:r>
      <w:r>
        <w:t>(1</w:t>
      </w:r>
      <w:r w:rsidR="00455DF9">
        <w:rPr>
          <w:rFonts w:hint="eastAsia"/>
          <w:lang w:eastAsia="ko-KR"/>
        </w:rPr>
        <w:t>1</w:t>
      </w:r>
      <w:r>
        <w:t xml:space="preserve">), </w:t>
      </w:r>
      <m:oMath>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r>
          <m:rPr>
            <m:sty m:val="p"/>
          </m:rPr>
          <w:rPr>
            <w:rFonts w:ascii="Cambria Math" w:hAnsi="Cambria Math"/>
          </w:rPr>
          <m:t>=</m:t>
        </m:r>
        <m:r>
          <w:rPr>
            <w:rFonts w:ascii="Cambria Math" w:hAnsi="Cambria Math"/>
          </w:rPr>
          <m:t>a </m:t>
        </m:r>
        <m:r>
          <m:rPr>
            <m:sty m:val="b"/>
          </m:rPr>
          <w:rPr>
            <w:rFonts w:ascii="Cambria Math" w:hAnsi="Cambria Math"/>
          </w:rPr>
          <m:t>ξ</m:t>
        </m:r>
        <m:r>
          <m:rPr>
            <m:sty m:val="p"/>
          </m:rPr>
          <w:rPr>
            <w:rFonts w:ascii="Cambria Math" w:hAnsi="Cambria Math"/>
          </w:rPr>
          <m:t>+</m:t>
        </m:r>
        <m:r>
          <m:rPr>
            <m:sty m:val="b"/>
          </m:rPr>
          <w:rPr>
            <w:rFonts w:ascii="Cambria Math" w:hAnsi="Cambria Math"/>
          </w:rPr>
          <m:t>d</m:t>
        </m:r>
      </m:oMath>
      <w:r>
        <w:t>, substituting this into the expected means of growth-factor (</w:t>
      </w:r>
      <m:oMath>
        <m:r>
          <m:rPr>
            <m:sty m:val="b"/>
          </m:rPr>
          <w:rPr>
            <w:rFonts w:ascii="Cambria Math" w:hAnsi="Cambria Math"/>
          </w:rPr>
          <m:t>κ</m:t>
        </m:r>
      </m:oMath>
      <w:r>
        <w:t>) yields</w:t>
      </w:r>
    </w:p>
    <w:p w14:paraId="4C6A5B32" w14:textId="6C8417FF" w:rsidR="00E93E3E" w:rsidRPr="00BF763F" w:rsidRDefault="00000000" w:rsidP="00BD26F1">
      <w:pPr>
        <w:pStyle w:val="BodyText"/>
        <w:spacing w:before="240" w:after="0" w:line="480" w:lineRule="auto"/>
      </w:pPr>
      <m:oMathPara>
        <m:oMathParaPr>
          <m:jc m:val="right"/>
        </m:oMathParaPr>
        <m:oMath>
          <m:r>
            <m:rPr>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e>
          </m:d>
          <m:r>
            <m:rPr>
              <m:sty m:val="p"/>
            </m:rPr>
            <w:rPr>
              <w:rFonts w:ascii="Cambria Math" w:hAnsi="Cambria Math"/>
            </w:rPr>
            <m:t>=</m:t>
          </m:r>
          <m:sSup>
            <m:sSupPr>
              <m:ctrlPr>
                <w:rPr>
                  <w:rFonts w:ascii="Cambria Math" w:hAnsi="Cambria Math"/>
                </w:rPr>
              </m:ctrlPr>
            </m:sSupPr>
            <m:e>
              <m:r>
                <m:rPr>
                  <m:sty m:val="b"/>
                </m:rPr>
                <w:rPr>
                  <w:rFonts w:ascii="Cambria Math" w:hAnsi="Cambria Math"/>
                </w:rPr>
                <m:t>κ</m:t>
              </m:r>
            </m:e>
            <m:sup>
              <m:d>
                <m:dPr>
                  <m:ctrlPr>
                    <w:rPr>
                      <w:rFonts w:ascii="Cambria Math" w:hAnsi="Cambria Math"/>
                    </w:rPr>
                  </m:ctrlPr>
                </m:dPr>
                <m:e>
                  <m:r>
                    <m:rPr>
                      <m:nor/>
                    </m:rPr>
                    <m:t>ec</m:t>
                  </m:r>
                </m:e>
              </m:d>
            </m:sup>
          </m:sSup>
          <m:r>
            <m:rPr>
              <m:sty m:val="p"/>
            </m:rPr>
            <w:rPr>
              <w:rFonts w:ascii="Cambria Math" w:hAnsi="Cambria Math"/>
            </w:rPr>
            <m:t>=</m:t>
          </m:r>
          <m:r>
            <w:rPr>
              <w:rFonts w:ascii="Cambria Math" w:hAnsi="Cambria Math"/>
            </w:rPr>
            <m:t>a </m:t>
          </m:r>
          <m:r>
            <m:rPr>
              <m:sty m:val="b"/>
            </m:rPr>
            <w:rPr>
              <w:rFonts w:ascii="Cambria Math" w:hAnsi="Cambria Math"/>
            </w:rPr>
            <m:t>κ</m:t>
          </m:r>
          <m:r>
            <m:rPr>
              <m:sty m:val="p"/>
            </m:rPr>
            <w:rPr>
              <w:rFonts w:ascii="Cambria Math" w:hAnsi="Cambria Math"/>
            </w:rPr>
            <m:t>+</m:t>
          </m:r>
          <m:r>
            <m:rPr>
              <m:sty m:val="b"/>
            </m:rP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 </m:t>
          </m:r>
          <m:d>
            <m:dPr>
              <m:ctrlPr>
                <w:rPr>
                  <w:rFonts w:ascii="Cambria Math" w:hAnsi="Cambria Math"/>
                </w:rPr>
              </m:ctrlPr>
            </m:dPr>
            <m:e>
              <m:r>
                <w:rPr>
                  <w:rFonts w:ascii="Cambria Math" w:hAnsi="Cambria Math"/>
                </w:rPr>
                <m:t>13</m:t>
              </m:r>
            </m:e>
          </m:d>
        </m:oMath>
      </m:oMathPara>
    </w:p>
    <w:p w14:paraId="1607EF1C" w14:textId="01B1CEF6" w:rsidR="00B13BE0" w:rsidRDefault="00000000" w:rsidP="00BD26F1">
      <w:pPr>
        <w:pStyle w:val="FirstParagraph"/>
        <w:spacing w:before="240" w:after="0" w:line="480" w:lineRule="auto"/>
      </w:pPr>
      <w:r>
        <w:t xml:space="preserve">so that </w:t>
      </w:r>
      <m:oMath>
        <m:sSubSup>
          <m:sSubSupPr>
            <m:ctrlPr>
              <w:rPr>
                <w:rFonts w:ascii="Cambria Math" w:hAnsi="Cambria Math"/>
              </w:rPr>
            </m:ctrlPr>
          </m:sSubSupPr>
          <m:e>
            <m:r>
              <w:rPr>
                <w:rFonts w:ascii="Cambria Math" w:hAnsi="Cambria Math"/>
              </w:rPr>
              <m:t>κ</m:t>
            </m:r>
          </m:e>
          <m:sub>
            <m:r>
              <w:rPr>
                <w:rFonts w:ascii="Cambria Math" w:hAnsi="Cambria Math"/>
              </w:rPr>
              <m:t>I</m:t>
            </m:r>
          </m:sub>
          <m:sup>
            <m:d>
              <m:dPr>
                <m:ctrlPr>
                  <w:rPr>
                    <w:rFonts w:ascii="Cambria Math" w:hAnsi="Cambria Math"/>
                  </w:rPr>
                </m:ctrlPr>
              </m:dPr>
              <m:e>
                <m:r>
                  <m:rPr>
                    <m:nor/>
                  </m:rPr>
                  <m:t>ec</m:t>
                </m:r>
              </m:e>
            </m:d>
          </m:sup>
        </m:sSubSup>
        <m:r>
          <m:rPr>
            <m:sty m:val="p"/>
          </m:rPr>
          <w:rPr>
            <w:rFonts w:ascii="Cambria Math" w:hAnsi="Cambria Math"/>
          </w:rPr>
          <m:t>=</m:t>
        </m:r>
        <m:r>
          <w:rPr>
            <w:rFonts w:ascii="Cambria Math" w:hAnsi="Cambria Math"/>
          </w:rPr>
          <m:t>a </m:t>
        </m:r>
        <m:sSub>
          <m:sSubPr>
            <m:ctrlPr>
              <w:rPr>
                <w:rFonts w:ascii="Cambria Math" w:hAnsi="Cambria Math"/>
                <w:i/>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c</m:t>
        </m:r>
      </m:oMath>
      <w:r>
        <w:t xml:space="preserve"> and </w:t>
      </w:r>
      <m:oMath>
        <m:sSubSup>
          <m:sSubSupPr>
            <m:ctrlPr>
              <w:rPr>
                <w:rFonts w:ascii="Cambria Math" w:hAnsi="Cambria Math"/>
              </w:rPr>
            </m:ctrlPr>
          </m:sSubSupPr>
          <m:e>
            <m:r>
              <w:rPr>
                <w:rFonts w:ascii="Cambria Math" w:hAnsi="Cambria Math"/>
              </w:rPr>
              <m:t>κ</m:t>
            </m:r>
          </m:e>
          <m:sub>
            <m:r>
              <w:rPr>
                <w:rFonts w:ascii="Cambria Math" w:hAnsi="Cambria Math"/>
              </w:rPr>
              <m:t>S</m:t>
            </m:r>
          </m:sub>
          <m:sup>
            <m:d>
              <m:dPr>
                <m:ctrlPr>
                  <w:rPr>
                    <w:rFonts w:ascii="Cambria Math" w:hAnsi="Cambria Math"/>
                  </w:rPr>
                </m:ctrlPr>
              </m:dPr>
              <m:e>
                <m:r>
                  <m:rPr>
                    <m:nor/>
                  </m:rPr>
                  <m:t>ec</m:t>
                </m:r>
              </m:e>
            </m:d>
          </m:sup>
        </m:sSubSup>
        <m:r>
          <m:rPr>
            <m:sty m:val="p"/>
          </m:rPr>
          <w:rPr>
            <w:rFonts w:ascii="Cambria Math" w:hAnsi="Cambria Math"/>
          </w:rPr>
          <m:t>=</m:t>
        </m:r>
        <m:r>
          <w:rPr>
            <w:rFonts w:ascii="Cambria Math" w:hAnsi="Cambria Math"/>
          </w:rPr>
          <m:t>a </m:t>
        </m:r>
        <m:sSub>
          <m:sSubPr>
            <m:ctrlPr>
              <w:rPr>
                <w:rFonts w:ascii="Cambria Math" w:hAnsi="Cambria Math"/>
                <w:i/>
              </w:rPr>
            </m:ctrlPr>
          </m:sSubPr>
          <m:e>
            <m:r>
              <w:rPr>
                <w:rFonts w:ascii="Cambria Math" w:hAnsi="Cambria Math"/>
              </w:rPr>
              <m:t>κ</m:t>
            </m:r>
          </m:e>
          <m:sub>
            <m:r>
              <w:rPr>
                <w:rFonts w:ascii="Cambria Math" w:hAnsi="Cambria Math"/>
              </w:rPr>
              <m:t>S</m:t>
            </m:r>
          </m:sub>
        </m:sSub>
      </m:oMath>
      <w:r w:rsidR="00A83121">
        <w:rPr>
          <w:rFonts w:hint="eastAsia"/>
          <w:lang w:eastAsia="ko-KR"/>
        </w:rPr>
        <w:t>,</w:t>
      </w:r>
      <w:r w:rsidR="00B13BE0">
        <w:t xml:space="preserve"> where</w:t>
      </w:r>
      <w:r w:rsidR="00B13BE0" w:rsidRPr="00B13BE0">
        <w:t xml:space="preserve"> the location shift </w:t>
      </w:r>
      <m:oMath>
        <m:r>
          <w:rPr>
            <w:rFonts w:ascii="Cambria Math" w:hAnsi="Cambria Math"/>
          </w:rPr>
          <m:t>c</m:t>
        </m:r>
      </m:oMath>
      <w:r w:rsidR="00B13BE0" w:rsidRPr="00B13BE0">
        <w:t xml:space="preserve"> enters</w:t>
      </w:r>
      <w:r w:rsidR="00A83121">
        <w:rPr>
          <w:rFonts w:hint="eastAsia"/>
          <w:lang w:eastAsia="ko-KR"/>
        </w:rPr>
        <w:t xml:space="preserve"> </w:t>
      </w:r>
      <w:r w:rsidR="00A83121">
        <w:rPr>
          <w:lang w:eastAsia="ko-KR"/>
        </w:rPr>
        <w:t>only the intercept factor</w:t>
      </w:r>
      <w:r>
        <w:t xml:space="preserve">. </w:t>
      </w:r>
    </w:p>
    <w:p w14:paraId="27395C11" w14:textId="16380E85" w:rsidR="00E93E3E" w:rsidRDefault="00455DF9" w:rsidP="00F514E5">
      <w:pPr>
        <w:pStyle w:val="FirstParagraph"/>
        <w:spacing w:before="240" w:after="0" w:line="480" w:lineRule="auto"/>
        <w:ind w:firstLine="720"/>
        <w:rPr>
          <w:lang w:eastAsia="ko-KR"/>
        </w:rPr>
      </w:pPr>
      <w:r>
        <w:rPr>
          <w:lang w:eastAsia="ko-KR"/>
        </w:rPr>
        <w:t xml:space="preserve">From </w:t>
      </w:r>
      <w:r w:rsidR="00C51F32">
        <w:rPr>
          <w:lang w:eastAsia="ko-KR"/>
        </w:rPr>
        <w:t>E</w:t>
      </w:r>
      <w:r>
        <w:rPr>
          <w:lang w:eastAsia="ko-KR"/>
        </w:rPr>
        <w:t>quation</w:t>
      </w:r>
      <w:r w:rsidR="00C51F32">
        <w:rPr>
          <w:lang w:eastAsia="ko-KR"/>
        </w:rPr>
        <w:t>s</w:t>
      </w:r>
      <w:r>
        <w:rPr>
          <w:lang w:eastAsia="ko-KR"/>
        </w:rPr>
        <w:t xml:space="preserve"> (3) and (10), </w:t>
      </w:r>
      <w:r w:rsidR="003B027B">
        <w:rPr>
          <w:lang w:eastAsia="ko-KR"/>
        </w:rPr>
        <w:t>the sum-score can be written on the scale of the</w:t>
      </w:r>
      <w:r w:rsidR="003B027B">
        <w:rPr>
          <w:lang w:eastAsia="ko-KR"/>
        </w:rPr>
        <w:t xml:space="preserve"> </w:t>
      </w:r>
      <w:r w:rsidR="003B027B">
        <w:rPr>
          <w:lang w:eastAsia="ko-KR"/>
        </w:rPr>
        <w:t>EC-fitted growth factors as</w:t>
      </w:r>
      <w:r w:rsidR="003B027B">
        <w:rPr>
          <w:lang w:eastAsia="ko-KR"/>
        </w:rPr>
        <w:t xml:space="preserve"> </w:t>
      </w:r>
      <w:r>
        <w:rPr>
          <w:lang w:eastAsia="ko-KR"/>
        </w:rPr>
        <w:t xml:space="preserve"> </w:t>
      </w:r>
      <m:oMath>
        <m:r>
          <m:rPr>
            <m:sty m:val="b"/>
          </m:rPr>
          <w:rPr>
            <w:rFonts w:ascii="Cambria Math" w:hAnsi="Cambria Math"/>
          </w:rPr>
          <m:t>S</m:t>
        </m:r>
        <m:r>
          <m:rPr>
            <m:sty m:val="b"/>
          </m:rPr>
          <w:rPr>
            <w:rFonts w:ascii="Cambria Math" w:hAnsi="Cambria Math"/>
          </w:rPr>
          <m:t>=</m:t>
        </m:r>
        <m:sSup>
          <m:sSupPr>
            <m:ctrlPr>
              <w:rPr>
                <w:rFonts w:ascii="Cambria Math" w:hAnsi="Cambria Math"/>
                <w:b/>
                <w:bCs/>
                <w:iCs/>
              </w:rPr>
            </m:ctrlPr>
          </m:sSupPr>
          <m:e>
            <m:r>
              <m:rPr>
                <m:sty m:val="b"/>
              </m:rPr>
              <w:rPr>
                <w:rFonts w:ascii="Cambria Math" w:hAnsi="Cambria Math"/>
              </w:rPr>
              <m:t>η</m:t>
            </m:r>
          </m:e>
          <m:sup>
            <m:d>
              <m:dPr>
                <m:ctrlPr>
                  <w:rPr>
                    <w:rFonts w:ascii="Cambria Math" w:hAnsi="Cambria Math"/>
                    <w:b/>
                    <w:bCs/>
                    <w:iCs/>
                  </w:rPr>
                </m:ctrlPr>
              </m:dPr>
              <m:e>
                <m:r>
                  <m:rPr>
                    <m:sty m:val="p"/>
                  </m:rPr>
                  <w:rPr>
                    <w:rFonts w:ascii="Cambria Math" w:hAnsi="Cambria Math"/>
                  </w:rPr>
                  <m:t>ec</m:t>
                </m:r>
              </m:e>
            </m:d>
          </m:sup>
        </m:sSup>
        <m:r>
          <m:rPr>
            <m:sty m:val="p"/>
          </m:rPr>
          <w:rPr>
            <w:rFonts w:ascii="Cambria Math" w:hAnsi="Cambria Math"/>
          </w:rPr>
          <m:t>+</m:t>
        </m:r>
        <m:sSup>
          <m:sSupPr>
            <m:ctrlPr>
              <w:rPr>
                <w:rFonts w:ascii="Cambria Math" w:hAnsi="Cambria Math"/>
              </w:rPr>
            </m:ctrlPr>
          </m:sSupPr>
          <m:e>
            <m:r>
              <m:rPr>
                <m:sty m:val="b"/>
              </m:rPr>
              <w:rPr>
                <w:rFonts w:ascii="Cambria Math" w:hAnsi="Cambria Math"/>
              </w:rPr>
              <m:t>ε</m:t>
            </m:r>
          </m:e>
          <m:sup>
            <m:r>
              <w:rPr>
                <w:rFonts w:ascii="Cambria Math" w:hAnsi="Cambria Math"/>
              </w:rPr>
              <m:t>(sum)</m:t>
            </m:r>
          </m:sup>
        </m:sSup>
        <m:r>
          <w:rPr>
            <w:rFonts w:ascii="Cambria Math" w:hAnsi="Cambria Math"/>
          </w:rPr>
          <m:t>=</m:t>
        </m:r>
        <m:r>
          <m:rPr>
            <m:sty m:val="b"/>
          </m:rPr>
          <w:rPr>
            <w:rFonts w:ascii="Cambria Math" w:hAnsi="Cambria Math"/>
          </w:rPr>
          <m:t>B</m:t>
        </m:r>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r>
          <w:rPr>
            <w:rFonts w:ascii="Cambria Math" w:hAnsi="Cambria Math"/>
          </w:rPr>
          <m:t>+</m:t>
        </m:r>
        <m:sSup>
          <m:sSupPr>
            <m:ctrlPr>
              <w:rPr>
                <w:rFonts w:ascii="Cambria Math" w:hAnsi="Cambria Math"/>
                <w:b/>
              </w:rPr>
            </m:ctrlPr>
          </m:sSupPr>
          <m:e>
            <m:r>
              <m:rPr>
                <m:sty m:val="b"/>
              </m:rPr>
              <w:rPr>
                <w:rFonts w:ascii="Cambria Math" w:hAnsi="Cambria Math"/>
              </w:rPr>
              <m:t>ζ</m:t>
            </m:r>
          </m:e>
          <m:sup>
            <m:r>
              <m:rPr>
                <m:sty m:val="bi"/>
              </m:rPr>
              <w:rPr>
                <w:rFonts w:ascii="Cambria Math" w:hAnsi="Cambria Math"/>
              </w:rPr>
              <m:t>(ec)</m:t>
            </m:r>
          </m:sup>
        </m:sSup>
        <m:r>
          <m:rPr>
            <m:sty m:val="bi"/>
          </m:rPr>
          <w:rPr>
            <w:rFonts w:ascii="Cambria Math" w:hAnsi="Cambria Math"/>
          </w:rPr>
          <m:t>+</m:t>
        </m:r>
        <m:sSup>
          <m:sSupPr>
            <m:ctrlPr>
              <w:rPr>
                <w:rFonts w:ascii="Cambria Math" w:hAnsi="Cambria Math"/>
              </w:rPr>
            </m:ctrlPr>
          </m:sSupPr>
          <m:e>
            <m:r>
              <m:rPr>
                <m:sty m:val="b"/>
              </m:rPr>
              <w:rPr>
                <w:rFonts w:ascii="Cambria Math" w:hAnsi="Cambria Math"/>
              </w:rPr>
              <m:t>ε</m:t>
            </m:r>
          </m:e>
          <m:sup>
            <m:r>
              <w:rPr>
                <w:rFonts w:ascii="Cambria Math" w:hAnsi="Cambria Math"/>
              </w:rPr>
              <m:t>(sum)</m:t>
            </m:r>
          </m:sup>
        </m:sSup>
      </m:oMath>
      <w:r w:rsidR="0085723C">
        <w:t xml:space="preserve">. </w:t>
      </w:r>
      <w:r w:rsidR="00C41F40" w:rsidRPr="00C41F40">
        <w:t>Because the residual terms have expectation zer</w:t>
      </w:r>
      <w:r w:rsidR="00335907">
        <w:t>o</w:t>
      </w:r>
      <w:r w:rsidR="00C41F40" w:rsidRPr="00C41F40">
        <w:t>, the growth factor means of the sum-score 1-LGCM and the EC-fitted 2-LGCM coincide</w:t>
      </w:r>
      <w:r w:rsidR="0085723C">
        <w:t>. This match depends only</w:t>
      </w:r>
      <w:r w:rsidR="0085723C">
        <w:t xml:space="preserve"> </w:t>
      </w:r>
      <w:r w:rsidR="0085723C">
        <w:t xml:space="preserve">on the loadings and intercepts that define </w:t>
      </w:r>
      <m:oMath>
        <m:r>
          <w:rPr>
            <w:rFonts w:ascii="Cambria Math" w:hAnsi="Cambria Math"/>
          </w:rPr>
          <m:t>a</m:t>
        </m:r>
      </m:oMath>
      <w:r w:rsidR="0085723C">
        <w:t xml:space="preserve"> and </w:t>
      </w:r>
      <m:oMath>
        <m:r>
          <w:rPr>
            <w:rFonts w:ascii="Cambria Math" w:hAnsi="Cambria Math"/>
          </w:rPr>
          <m:t>c</m:t>
        </m:r>
      </m:oMath>
      <w:r w:rsidR="0085723C">
        <w:t>, not on how the residuals</w:t>
      </w:r>
      <w:r w:rsidR="0085723C">
        <w:t xml:space="preserve"> </w:t>
      </w:r>
      <w:r w:rsidR="0085723C">
        <w:t>are correlated, so it holds with or without correlated uniqueness.</w:t>
      </w:r>
      <w:r w:rsidR="0085723C">
        <w:t xml:space="preserve"> </w:t>
      </w:r>
      <w:r w:rsidR="00000000">
        <w:t xml:space="preserve">The same scalar </w:t>
      </w:r>
      <m:oMath>
        <m:r>
          <w:rPr>
            <w:rFonts w:ascii="Cambria Math" w:hAnsi="Cambria Math"/>
          </w:rPr>
          <m:t>a</m:t>
        </m:r>
      </m:oMath>
      <w:r w:rsidR="00000000">
        <w:t xml:space="preserve"> also governs the variance relationship as:</w:t>
      </w:r>
    </w:p>
    <w:p w14:paraId="5E8DB5EA" w14:textId="756463E8" w:rsidR="00E93E3E" w:rsidRPr="00BF763F" w:rsidRDefault="00000000" w:rsidP="00BD26F1">
      <w:pPr>
        <w:pStyle w:val="BodyText"/>
        <w:spacing w:before="240" w:after="0" w:line="480" w:lineRule="auto"/>
      </w:pPr>
      <m:oMathPara>
        <m:oMathParaPr>
          <m:jc m:val="right"/>
        </m:oMathParaPr>
        <m:oMath>
          <m:r>
            <m:rPr>
              <m:sty m:val="p"/>
            </m:rPr>
            <w:rPr>
              <w:rFonts w:ascii="Cambria Math" w:hAnsi="Cambria Math"/>
            </w:rPr>
            <m:t>Var</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m:t>ec</m:t>
                      </m:r>
                    </m:e>
                  </m:d>
                </m:sup>
              </m:sSup>
            </m:e>
          </m:d>
          <m:r>
            <m:rPr>
              <m:sty m:val="p"/>
            </m:rPr>
            <w:rPr>
              <w:rFonts w:ascii="Cambria Math" w:hAnsi="Cambria Math"/>
            </w:rPr>
            <m:t>=</m:t>
          </m:r>
          <m:sSup>
            <m:sSupPr>
              <m:ctrlPr>
                <w:rPr>
                  <w:rFonts w:ascii="Cambria Math" w:hAnsi="Cambria Math"/>
                </w:rPr>
              </m:ctrlPr>
            </m:sSupPr>
            <m:e>
              <m:r>
                <m:rPr>
                  <m:sty m:val="b"/>
                </m:rPr>
                <w:rPr>
                  <w:rFonts w:ascii="Cambria Math" w:hAnsi="Cambria Math"/>
                </w:rPr>
                <m:t>Φ</m:t>
              </m:r>
            </m:e>
            <m:sup>
              <m:d>
                <m:dPr>
                  <m:ctrlPr>
                    <w:rPr>
                      <w:rFonts w:ascii="Cambria Math" w:hAnsi="Cambria Math"/>
                    </w:rPr>
                  </m:ctrlPr>
                </m:dPr>
                <m:e>
                  <m:r>
                    <m:rPr>
                      <m:nor/>
                    </m:rPr>
                    <m:t>ec</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m:t>
          </m:r>
          <m:r>
            <m:rPr>
              <m:sty m:val="b"/>
            </m:rPr>
            <w:rPr>
              <w:rFonts w:ascii="Cambria Math" w:hAnsi="Cambria Math"/>
            </w:rPr>
            <m:t>Φ</m:t>
          </m:r>
          <m:r>
            <m:rPr>
              <m:sty m:val="p"/>
            </m:rPr>
            <w:rPr>
              <w:rFonts w:ascii="Cambria Math" w:hAnsi="Cambria Math"/>
            </w:rPr>
            <m:t>.</m:t>
          </m:r>
          <m:r>
            <w:rPr>
              <w:rFonts w:ascii="Cambria Math" w:hAnsi="Cambria Math"/>
            </w:rPr>
            <m:t> </m:t>
          </m:r>
          <m:r>
            <w:rPr>
              <w:rFonts w:ascii="Cambria Math" w:hAnsi="Cambria Math"/>
            </w:rPr>
            <m:t xml:space="preserve">  </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14</m:t>
              </m:r>
            </m:e>
          </m:d>
        </m:oMath>
      </m:oMathPara>
    </w:p>
    <w:p w14:paraId="7D88C59E" w14:textId="4E85506C" w:rsidR="00E93E3E" w:rsidRDefault="003B027B" w:rsidP="00BD26F1">
      <w:pPr>
        <w:pStyle w:val="FirstParagraph"/>
        <w:spacing w:before="240" w:after="0" w:line="480" w:lineRule="auto"/>
      </w:pPr>
      <w:r>
        <w:t>Thus, using the relationships in Equations</w:t>
      </w:r>
      <w:r>
        <w:t xml:space="preserve"> </w:t>
      </w:r>
      <w:r>
        <w:t>(13) and (14) under strong</w:t>
      </w:r>
      <w:r>
        <w:t xml:space="preserve"> </w:t>
      </w:r>
      <w:r>
        <w:t>invariance, we can back-map the generating-model growth parameters onto the</w:t>
      </w:r>
      <w:r>
        <w:t xml:space="preserve"> </w:t>
      </w:r>
      <w:r>
        <w:t>effects-coded scale, which coincides with the sum-score scale.</w:t>
      </w:r>
    </w:p>
    <w:p w14:paraId="03124905" w14:textId="77777777" w:rsidR="00E93E3E" w:rsidRPr="00F514E5" w:rsidRDefault="00000000" w:rsidP="00F514E5">
      <w:pPr>
        <w:pStyle w:val="Heading2"/>
        <w:spacing w:before="360" w:after="60" w:line="360" w:lineRule="auto"/>
        <w:ind w:right="562"/>
        <w:rPr>
          <w:b/>
          <w:bCs/>
        </w:rPr>
      </w:pPr>
      <w:bookmarkStart w:id="9" w:name="robustness-to-correlated-uniqueness"/>
      <w:bookmarkEnd w:id="8"/>
      <w:r w:rsidRPr="00F514E5">
        <w:rPr>
          <w:b/>
          <w:bCs/>
        </w:rPr>
        <w:lastRenderedPageBreak/>
        <w:t>3.4 Robustness to Correlated Uniqueness</w:t>
      </w:r>
    </w:p>
    <w:p w14:paraId="41CE67B9" w14:textId="1C7DE59B" w:rsidR="00E93E3E" w:rsidRDefault="004A1971" w:rsidP="00BD26F1">
      <w:pPr>
        <w:pStyle w:val="FirstParagraph"/>
        <w:spacing w:before="240" w:after="0" w:line="480" w:lineRule="auto"/>
      </w:pPr>
      <w:r w:rsidRPr="004A1971">
        <w:t xml:space="preserve">The EC identification places the 1-LGCM and 2-LGCM on the same metric and recovers the generating growth parameters. </w:t>
      </w:r>
      <w:r w:rsidR="00FA2664" w:rsidRPr="00FA2664">
        <w:t xml:space="preserve">We next allow the </w:t>
      </w:r>
      <w:r w:rsidR="00FA2664">
        <w:t xml:space="preserve">residual covariance </w:t>
      </w:r>
      <w:r w:rsidR="00FA2664" w:rsidRPr="00FA2664">
        <w:t>of the same indicator across waves and examine how the growth parameters of the two models relate when CU is present</w:t>
      </w:r>
      <w:r w:rsidRPr="004A1971">
        <w:t>.</w:t>
      </w:r>
      <w:r>
        <w:rPr>
          <w:rFonts w:hint="eastAsia"/>
          <w:lang w:eastAsia="ko-KR"/>
        </w:rPr>
        <w:t xml:space="preserve"> </w:t>
      </w:r>
      <w:r w:rsidR="00000000">
        <w:t xml:space="preserve">Under the generating model </w:t>
      </w:r>
      <w:r>
        <w:t>with</w:t>
      </w:r>
      <w:r w:rsidR="00000000">
        <w:t xml:space="preserve"> strong invariance, the sum score is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 </m:t>
        </m:r>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ε</m:t>
                </m:r>
              </m:e>
              <m:sub>
                <m:r>
                  <w:rPr>
                    <w:rFonts w:ascii="Cambria Math" w:hAnsi="Cambria Math"/>
                  </w:rPr>
                  <m:t>it</m:t>
                </m:r>
              </m:sub>
            </m:sSub>
          </m:e>
        </m:nary>
      </m:oMath>
      <w:r w:rsidR="00030ACE">
        <w:t xml:space="preserve"> and the</w:t>
      </w:r>
      <w:r w:rsidR="00000000">
        <w:t xml:space="preserve"> covariance of sum scores for waves </w:t>
      </w:r>
      <m:oMath>
        <m:r>
          <w:rPr>
            <w:rFonts w:ascii="Cambria Math" w:hAnsi="Cambria Math"/>
          </w:rPr>
          <m:t>t</m:t>
        </m:r>
        <m:r>
          <m:rPr>
            <m:sty m:val="p"/>
          </m:rPr>
          <w:rPr>
            <w:rFonts w:ascii="Cambria Math" w:hAnsi="Cambria Math"/>
          </w:rPr>
          <m:t>,</m:t>
        </m:r>
        <m:r>
          <w:rPr>
            <w:rFonts w:ascii="Cambria Math" w:hAnsi="Cambria Math"/>
          </w:rPr>
          <m:t>k</m:t>
        </m:r>
      </m:oMath>
      <w:r w:rsidR="00000000">
        <w:t xml:space="preserve"> is</w:t>
      </w:r>
    </w:p>
    <w:p w14:paraId="266DE925" w14:textId="3C00321C" w:rsidR="00E93E3E" w:rsidRPr="000B6C8F" w:rsidRDefault="00000000" w:rsidP="00BD26F1">
      <w:pPr>
        <w:pStyle w:val="BodyText"/>
        <w:spacing w:before="240" w:after="0" w:line="480" w:lineRule="auto"/>
        <w:jc w:val="center"/>
      </w:p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Cov</m:t>
        </m:r>
        <m:d>
          <m:dPr>
            <m:ctrlPr>
              <w:rPr>
                <w:rFonts w:ascii="Cambria Math" w:hAnsi="Cambria Math"/>
              </w:rPr>
            </m:ctrlPr>
          </m:dPr>
          <m:e>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r>
              <m:rPr>
                <m:sty m:val="p"/>
              </m:rPr>
              <w:rPr>
                <w:rFonts w:ascii="Cambria Math" w:hAnsi="Cambria Math"/>
              </w:rPr>
              <m:t>Cov</m:t>
            </m:r>
          </m:e>
        </m:nary>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ik</m:t>
                </m:r>
              </m:sub>
            </m:sSub>
          </m:e>
        </m:d>
        <m:r>
          <m:rPr>
            <m:sty m:val="p"/>
          </m:rPr>
          <w:rPr>
            <w:rFonts w:ascii="Cambria Math" w:hAnsi="Cambria Math"/>
          </w:rPr>
          <m:t>.</m:t>
        </m:r>
      </m:oMath>
      <w:r w:rsidR="000B6C8F">
        <w:t xml:space="preserve"> </w:t>
      </w:r>
    </w:p>
    <w:p w14:paraId="6195E81D" w14:textId="3BB8135D" w:rsidR="00E93E3E" w:rsidRDefault="00000000" w:rsidP="00BD26F1">
      <w:pPr>
        <w:pStyle w:val="FirstParagraph"/>
        <w:spacing w:before="240" w:after="0" w:line="480" w:lineRule="auto"/>
        <w:rPr>
          <w:rFonts w:hint="eastAsia"/>
          <w:lang w:eastAsia="ko-KR"/>
        </w:rPr>
      </w:pPr>
      <w:r>
        <w:t xml:space="preserve">Expanding the latent covariance for time </w:t>
      </w:r>
      <m:oMath>
        <m:r>
          <w:rPr>
            <w:rFonts w:ascii="Cambria Math" w:hAnsi="Cambria Math"/>
          </w:rPr>
          <m:t>t</m:t>
        </m:r>
        <m:r>
          <m:rPr>
            <m:sty m:val="p"/>
          </m:rPr>
          <w:rPr>
            <w:rFonts w:ascii="Cambria Math" w:hAnsi="Cambria Math"/>
          </w:rPr>
          <m:t>,</m:t>
        </m:r>
        <m:r>
          <w:rPr>
            <w:rFonts w:ascii="Cambria Math" w:hAnsi="Cambria Math"/>
          </w:rPr>
          <m:t>k</m:t>
        </m:r>
      </m:oMath>
      <w:r>
        <w:t xml:space="preserve"> through </w:t>
      </w:r>
      <w:r w:rsidR="00E27EA8">
        <w:t>E</w:t>
      </w:r>
      <w:r>
        <w:t>quation (3) with disturbance</w:t>
      </w:r>
      <w:r w:rsidR="004A1971">
        <w:t>s</w:t>
      </w:r>
      <w:r w:rsidR="00143500">
        <w:t xml:space="preserve"> on latent factors</w:t>
      </w:r>
      <w:r w:rsidR="004A1971">
        <w:t xml:space="preserve"> independent</w:t>
      </w:r>
      <w:r>
        <w:t xml:space="preserve"> over time,</w:t>
      </w:r>
    </w:p>
    <w:p w14:paraId="4EF678CD" w14:textId="6EEA5B23" w:rsidR="00E93E3E" w:rsidRPr="00501C34" w:rsidRDefault="00000000" w:rsidP="00BD26F1">
      <w:pPr>
        <w:pStyle w:val="BodyText"/>
        <w:spacing w:before="240" w:after="0" w:line="480" w:lineRule="auto"/>
        <w:rPr>
          <w:lang w:val="sv-SE"/>
        </w:rPr>
      </w:pPr>
      <m:oMathPara>
        <m:oMathParaPr>
          <m:jc m:val="center"/>
        </m:oMathParaPr>
        <m:oMath>
          <m:r>
            <m:rPr>
              <m:sty m:val="p"/>
            </m:rPr>
            <w:rPr>
              <w:rFonts w:ascii="Cambria Math" w:hAnsi="Cambria Math"/>
              <w:lang w:val="sv-SE"/>
            </w:rPr>
            <m:t>Cov</m:t>
          </m:r>
          <m:d>
            <m:dPr>
              <m:ctrlPr>
                <w:rPr>
                  <w:rFonts w:ascii="Cambria Math" w:hAnsi="Cambria Math"/>
                </w:rPr>
              </m:ctrlPr>
            </m:dPr>
            <m:e>
              <m:sSub>
                <m:sSubPr>
                  <m:ctrlPr>
                    <w:rPr>
                      <w:rFonts w:ascii="Cambria Math" w:hAnsi="Cambria Math"/>
                      <w:i/>
                    </w:rPr>
                  </m:ctrlPr>
                </m:sSubPr>
                <m:e>
                  <m:r>
                    <w:rPr>
                      <w:rFonts w:ascii="Cambria Math" w:hAnsi="Cambria Math"/>
                    </w:rPr>
                    <m:t>η</m:t>
                  </m:r>
                </m:e>
                <m:sub>
                  <m:r>
                    <w:rPr>
                      <w:rFonts w:ascii="Cambria Math" w:hAnsi="Cambria Math"/>
                    </w:rPr>
                    <m:t>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k</m:t>
                  </m:r>
                </m:sub>
              </m:sSub>
            </m:e>
          </m:d>
          <m:r>
            <m:rPr>
              <m:sty m:val="p"/>
            </m:rPr>
            <w:rPr>
              <w:rFonts w:ascii="Cambria Math" w:hAnsi="Cambria Math"/>
              <w:lang w:val="sv-SE"/>
            </w:rPr>
            <m:t>=</m:t>
          </m:r>
          <m:sSub>
            <m:sSubPr>
              <m:ctrlPr>
                <w:rPr>
                  <w:rFonts w:ascii="Cambria Math" w:hAnsi="Cambria Math"/>
                </w:rPr>
              </m:ctrlPr>
            </m:sSubPr>
            <m:e>
              <m:r>
                <w:rPr>
                  <w:rFonts w:ascii="Cambria Math" w:hAnsi="Cambria Math"/>
                </w:rPr>
                <m:t>ϕ</m:t>
              </m:r>
            </m:e>
            <m:sub>
              <m:r>
                <w:rPr>
                  <w:rFonts w:ascii="Cambria Math" w:hAnsi="Cambria Math"/>
                  <w:lang w:eastAsia="ko-KR"/>
                </w:rPr>
                <m:t>II</m:t>
              </m:r>
            </m:sub>
          </m:sSub>
          <m:r>
            <m:rPr>
              <m:sty m:val="p"/>
            </m:rPr>
            <w:rPr>
              <w:rFonts w:ascii="Cambria Math" w:hAnsi="Cambria Math"/>
              <w:lang w:val="sv-SE"/>
            </w:rPr>
            <m:t>+</m:t>
          </m:r>
          <m:d>
            <m:dPr>
              <m:ctrlPr>
                <w:rPr>
                  <w:rFonts w:ascii="Cambria Math" w:hAnsi="Cambria Math"/>
                </w:rPr>
              </m:ctrlPr>
            </m:dPr>
            <m:e>
              <m:r>
                <w:rPr>
                  <w:rFonts w:ascii="Cambria Math" w:hAnsi="Cambria Math"/>
                </w:rPr>
                <m:t>t</m:t>
              </m:r>
              <m:r>
                <m:rPr>
                  <m:sty m:val="p"/>
                </m:rPr>
                <w:rPr>
                  <w:rFonts w:ascii="Cambria Math" w:hAnsi="Cambria Math"/>
                  <w:lang w:val="sv-SE"/>
                </w:rPr>
                <m:t>-</m:t>
              </m:r>
              <m:r>
                <w:rPr>
                  <w:rFonts w:ascii="Cambria Math" w:hAnsi="Cambria Math"/>
                  <w:lang w:val="sv-SE"/>
                </w:rPr>
                <m:t>1</m:t>
              </m:r>
            </m:e>
          </m:d>
          <m:d>
            <m:dPr>
              <m:ctrlPr>
                <w:rPr>
                  <w:rFonts w:ascii="Cambria Math" w:hAnsi="Cambria Math"/>
                </w:rPr>
              </m:ctrlPr>
            </m:dPr>
            <m:e>
              <m:r>
                <w:rPr>
                  <w:rFonts w:ascii="Cambria Math" w:hAnsi="Cambria Math"/>
                </w:rPr>
                <m:t>k</m:t>
              </m:r>
              <m:r>
                <m:rPr>
                  <m:sty m:val="p"/>
                </m:rPr>
                <w:rPr>
                  <w:rFonts w:ascii="Cambria Math" w:hAnsi="Cambria Math"/>
                  <w:lang w:val="sv-SE"/>
                </w:rPr>
                <m:t>-</m:t>
              </m:r>
              <m:r>
                <w:rPr>
                  <w:rFonts w:ascii="Cambria Math" w:hAnsi="Cambria Math"/>
                  <w:lang w:val="sv-SE"/>
                </w:rPr>
                <m:t>1</m:t>
              </m:r>
            </m:e>
          </m:d>
          <m:r>
            <w:rPr>
              <w:rFonts w:ascii="Cambria Math" w:hAnsi="Cambria Math"/>
              <w:lang w:val="sv-SE"/>
            </w:rPr>
            <m:t> </m:t>
          </m:r>
          <m:sSub>
            <m:sSubPr>
              <m:ctrlPr>
                <w:rPr>
                  <w:rFonts w:ascii="Cambria Math" w:hAnsi="Cambria Math"/>
                </w:rPr>
              </m:ctrlPr>
            </m:sSubPr>
            <m:e>
              <m:r>
                <w:rPr>
                  <w:rFonts w:ascii="Cambria Math" w:hAnsi="Cambria Math"/>
                </w:rPr>
                <m:t>ϕ</m:t>
              </m:r>
            </m:e>
            <m:sub>
              <m:r>
                <w:rPr>
                  <w:rFonts w:ascii="Cambria Math" w:hAnsi="Cambria Math"/>
                  <w:lang w:eastAsia="ko-KR"/>
                </w:rPr>
                <m:t>SS</m:t>
              </m:r>
            </m:sub>
          </m:sSub>
          <m:r>
            <m:rPr>
              <m:sty m:val="p"/>
            </m:rPr>
            <w:rPr>
              <w:rFonts w:ascii="Cambria Math" w:hAnsi="Cambria Math"/>
              <w:lang w:val="sv-SE"/>
            </w:rPr>
            <m:t>+</m:t>
          </m:r>
          <m:d>
            <m:dPr>
              <m:ctrlPr>
                <w:rPr>
                  <w:rFonts w:ascii="Cambria Math" w:hAnsi="Cambria Math"/>
                </w:rPr>
              </m:ctrlPr>
            </m:dPr>
            <m:e>
              <m:r>
                <w:rPr>
                  <w:rFonts w:ascii="Cambria Math" w:hAnsi="Cambria Math"/>
                </w:rPr>
                <m:t>t</m:t>
              </m:r>
              <m:r>
                <m:rPr>
                  <m:sty m:val="p"/>
                </m:rPr>
                <w:rPr>
                  <w:rFonts w:ascii="Cambria Math" w:hAnsi="Cambria Math"/>
                  <w:lang w:val="sv-SE"/>
                </w:rPr>
                <m:t>+</m:t>
              </m:r>
              <m:r>
                <w:rPr>
                  <w:rFonts w:ascii="Cambria Math" w:hAnsi="Cambria Math"/>
                </w:rPr>
                <m:t>k</m:t>
              </m:r>
              <m:r>
                <m:rPr>
                  <m:sty m:val="p"/>
                </m:rPr>
                <w:rPr>
                  <w:rFonts w:ascii="Cambria Math" w:hAnsi="Cambria Math"/>
                  <w:lang w:val="sv-SE"/>
                </w:rPr>
                <m:t>-</m:t>
              </m:r>
              <m:r>
                <w:rPr>
                  <w:rFonts w:ascii="Cambria Math" w:hAnsi="Cambria Math"/>
                  <w:lang w:val="sv-SE"/>
                </w:rPr>
                <m:t>2</m:t>
              </m:r>
            </m:e>
          </m:d>
          <m:r>
            <w:rPr>
              <w:rFonts w:ascii="Cambria Math" w:hAnsi="Cambria Math"/>
              <w:lang w:val="sv-SE"/>
            </w:rPr>
            <m:t> </m:t>
          </m:r>
          <m:sSub>
            <m:sSubPr>
              <m:ctrlPr>
                <w:rPr>
                  <w:rFonts w:ascii="Cambria Math" w:hAnsi="Cambria Math"/>
                </w:rPr>
              </m:ctrlPr>
            </m:sSubPr>
            <m:e>
              <m:r>
                <w:rPr>
                  <w:rFonts w:ascii="Cambria Math" w:hAnsi="Cambria Math"/>
                </w:rPr>
                <m:t>ϕ</m:t>
              </m:r>
            </m:e>
            <m:sub>
              <m:r>
                <w:rPr>
                  <w:rFonts w:ascii="Cambria Math" w:hAnsi="Cambria Math"/>
                  <w:lang w:eastAsia="ko-KR"/>
                </w:rPr>
                <m:t>I</m:t>
              </m:r>
              <m:r>
                <w:rPr>
                  <w:rFonts w:ascii="Cambria Math" w:hAnsi="Cambria Math"/>
                  <w:lang w:eastAsia="ko-KR"/>
                </w:rPr>
                <m:t>S</m:t>
              </m:r>
            </m:sub>
          </m:sSub>
          <m:r>
            <m:rPr>
              <m:sty m:val="p"/>
            </m:rPr>
            <w:rPr>
              <w:rFonts w:ascii="Cambria Math" w:hAnsi="Cambria Math"/>
              <w:lang w:val="sv-SE"/>
            </w:rPr>
            <m:t>+</m:t>
          </m:r>
          <m:r>
            <m:rPr>
              <m:sty m:val="b"/>
            </m:rPr>
            <w:rPr>
              <w:rFonts w:ascii="Cambria Math" w:hAnsi="Cambria Math"/>
            </w:rPr>
            <m:t>1</m:t>
          </m:r>
          <m:r>
            <m:rPr>
              <m:sty m:val="p"/>
            </m:rPr>
            <w:rPr>
              <w:rFonts w:ascii="Cambria Math" w:hAnsi="Cambria Math"/>
              <w:lang w:val="sv-SE"/>
            </w:rPr>
            <m:t>{</m:t>
          </m:r>
          <m:r>
            <w:rPr>
              <w:rFonts w:ascii="Cambria Math" w:hAnsi="Cambria Math"/>
            </w:rPr>
            <m:t>t</m:t>
          </m:r>
          <m:r>
            <m:rPr>
              <m:sty m:val="p"/>
            </m:rPr>
            <w:rPr>
              <w:rFonts w:ascii="Cambria Math" w:hAnsi="Cambria Math"/>
              <w:lang w:val="sv-SE"/>
            </w:rPr>
            <m:t>=</m:t>
          </m:r>
          <m:r>
            <w:rPr>
              <w:rFonts w:ascii="Cambria Math" w:hAnsi="Cambria Math"/>
            </w:rPr>
            <m:t>k</m:t>
          </m:r>
          <m:r>
            <m:rPr>
              <m:sty m:val="p"/>
            </m:rPr>
            <w:rPr>
              <w:rFonts w:ascii="Cambria Math" w:hAnsi="Cambria Math"/>
              <w:lang w:val="sv-SE"/>
            </w:rPr>
            <m:t>}</m:t>
          </m:r>
          <m:r>
            <w:rPr>
              <w:rFonts w:ascii="Cambria Math" w:hAnsi="Cambria Math"/>
              <w:lang w:val="sv-SE"/>
            </w:rPr>
            <m:t> </m:t>
          </m:r>
          <m:sSub>
            <m:sSubPr>
              <m:ctrlPr>
                <w:rPr>
                  <w:rFonts w:ascii="Cambria Math" w:hAnsi="Cambria Math"/>
                </w:rPr>
              </m:ctrlPr>
            </m:sSubPr>
            <m:e>
              <m:r>
                <w:rPr>
                  <w:rFonts w:ascii="Cambria Math" w:hAnsi="Cambria Math"/>
                </w:rPr>
                <m:t>ψ</m:t>
              </m:r>
            </m:e>
            <m:sub>
              <m:r>
                <w:rPr>
                  <w:rFonts w:ascii="Cambria Math" w:hAnsi="Cambria Math"/>
                </w:rPr>
                <m:t>t</m:t>
              </m:r>
            </m:sub>
          </m:sSub>
          <m:r>
            <w:rPr>
              <w:rFonts w:ascii="Cambria Math" w:hAnsi="Cambria Math"/>
              <w:lang w:val="sv-SE"/>
            </w:rPr>
            <m:t> </m:t>
          </m:r>
          <m:r>
            <m:rPr>
              <m:sty m:val="p"/>
            </m:rPr>
            <w:rPr>
              <w:rFonts w:ascii="Cambria Math" w:hAnsi="Cambria Math"/>
              <w:lang w:val="sv-SE"/>
            </w:rPr>
            <m:t>,</m:t>
          </m:r>
        </m:oMath>
      </m:oMathPara>
    </w:p>
    <w:p w14:paraId="7927B5AB" w14:textId="7368DC5E" w:rsidR="004A1971" w:rsidRDefault="00000000" w:rsidP="00BD26F1">
      <w:pPr>
        <w:pStyle w:val="FirstParagraph"/>
        <w:spacing w:before="240" w:after="0" w:line="480" w:lineRule="auto"/>
      </w:pPr>
      <w:r>
        <w:t xml:space="preserve">the </w:t>
      </w:r>
      <w:r w:rsidR="004A1971" w:rsidRPr="004A1971">
        <w:t>covariance between sum scores</w:t>
      </w:r>
      <w:r w:rsidR="004A1971">
        <w:t xml:space="preserve"> </w:t>
      </w:r>
      <w:r w:rsidR="00E27EA8">
        <w:t xml:space="preserve">written by the generating model </w:t>
      </w:r>
      <w:r w:rsidR="004A1971" w:rsidRPr="004A1971">
        <w:t>becomes</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6"/>
        <w:gridCol w:w="616"/>
      </w:tblGrid>
      <w:tr w:rsidR="00E27EA8" w14:paraId="64B5D8DE" w14:textId="77777777" w:rsidTr="00DE6CAD">
        <w:trPr>
          <w:jc w:val="right"/>
        </w:trPr>
        <w:tc>
          <w:tcPr>
            <w:tcW w:w="9018" w:type="dxa"/>
          </w:tcPr>
          <w:p w14:paraId="6FB716B4" w14:textId="77777777" w:rsidR="00E27EA8" w:rsidRPr="00143500" w:rsidRDefault="00E27EA8" w:rsidP="00BD26F1">
            <w:pPr>
              <w:pStyle w:val="BodyText"/>
              <w:spacing w:before="240" w:after="0" w:line="480" w:lineRule="auto"/>
              <w:jc w:val="center"/>
            </w:pPr>
            <m:oMathPara>
              <m:oMathParaPr>
                <m:jc m:val="left"/>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lang w:eastAsia="ko-KR"/>
                          </w:rPr>
                          <m:t>II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lang w:eastAsia="ko-KR"/>
                          </w:rPr>
                          <m:t>SS</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lang w:eastAsia="ko-KR"/>
                          </w:rPr>
                          <m:t>IS</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t</m:t>
                        </m:r>
                      </m:sub>
                    </m:sSub>
                  </m:e>
                </m:d>
              </m:oMath>
            </m:oMathPara>
          </w:p>
          <w:p w14:paraId="1A46E9A7" w14:textId="07EE14A1" w:rsidR="00E27EA8" w:rsidRDefault="00E27EA8" w:rsidP="00BD26F1">
            <w:pPr>
              <w:pStyle w:val="BodyText"/>
              <w:spacing w:before="240" w:after="0" w:line="480" w:lineRule="auto"/>
              <w:jc w:val="center"/>
            </w:pPr>
            <m:oMathPara>
              <m:oMath>
                <m: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r>
                      <m:rPr>
                        <m:sty m:val="p"/>
                      </m:rPr>
                      <w:rPr>
                        <w:rFonts w:ascii="Cambria Math" w:hAnsi="Cambria Math"/>
                      </w:rPr>
                      <m:t>Cov</m:t>
                    </m:r>
                  </m:e>
                </m:nary>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ik</m:t>
                        </m:r>
                      </m:sub>
                    </m:sSub>
                  </m:e>
                </m:d>
                <m:r>
                  <w:rPr>
                    <w:rFonts w:ascii="Cambria Math" w:hAnsi="Cambria Math"/>
                  </w:rPr>
                  <m:t>.</m:t>
                </m:r>
              </m:oMath>
            </m:oMathPara>
          </w:p>
        </w:tc>
        <w:tc>
          <w:tcPr>
            <w:tcW w:w="558" w:type="dxa"/>
          </w:tcPr>
          <w:p w14:paraId="2D7E6357" w14:textId="5C0DD99E" w:rsidR="00E27EA8" w:rsidRDefault="00E27EA8" w:rsidP="00BD26F1">
            <w:pPr>
              <w:pStyle w:val="BodyText"/>
              <w:spacing w:before="240" w:after="0" w:line="480" w:lineRule="auto"/>
            </w:pPr>
            <w:r>
              <w:t>(15)</w:t>
            </w:r>
          </w:p>
        </w:tc>
      </w:tr>
    </w:tbl>
    <w:p w14:paraId="08760B39" w14:textId="239684B7" w:rsidR="00E93E3E" w:rsidRDefault="00000000" w:rsidP="00675FD1">
      <w:pPr>
        <w:pStyle w:val="FirstParagraph"/>
        <w:spacing w:before="240" w:after="0" w:line="480" w:lineRule="auto"/>
        <w:ind w:firstLine="720"/>
      </w:pPr>
      <w:r>
        <w:t>Th</w:t>
      </w:r>
      <w:r w:rsidR="004A1971">
        <w:t xml:space="preserve">e implied covariance </w:t>
      </w:r>
      <w:r w:rsidR="00143500">
        <w:t xml:space="preserve">for the same waves </w:t>
      </w:r>
      <w:r w:rsidR="004A1971">
        <w:t xml:space="preserve">by </w:t>
      </w:r>
      <w:r>
        <w:t>the fitted 1-LGCM</w:t>
      </w:r>
      <w:r w:rsidR="004A1971">
        <w:t xml:space="preserve">,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m:rPr>
                    <m:nor/>
                  </m:rPr>
                  <w:rPr>
                    <w:rFonts w:ascii="Cambria Math"/>
                    <w:lang w:eastAsia="ko-KR"/>
                  </w:rPr>
                  <m:t>sum</m:t>
                </m:r>
              </m:e>
            </m:d>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rsidR="00143500">
        <w:t xml:space="preserve"> where </w:t>
      </w:r>
      <m:oMath>
        <m:r>
          <m:rPr>
            <m:sty m:val="p"/>
          </m:rPr>
          <w:rPr>
            <w:rFonts w:ascii="Cambria Math" w:hAnsi="Cambria Math"/>
          </w:rPr>
          <m:t>E</m:t>
        </m:r>
        <m:d>
          <m:dPr>
            <m:begChr m:val="["/>
            <m:endChr m:val="]"/>
            <m:ctrlPr>
              <w:rPr>
                <w:rFonts w:ascii="Cambria Math" w:hAnsi="Cambria Math"/>
              </w:rPr>
            </m:ctrlPr>
          </m:dPr>
          <m:e>
            <m:r>
              <m:rPr>
                <m:sty m:val="b"/>
              </m:rPr>
              <w:rPr>
                <w:rFonts w:ascii="Cambria Math" w:hAnsi="Cambria Math"/>
              </w:rPr>
              <m:t>e</m:t>
            </m:r>
          </m:e>
        </m:d>
        <m:r>
          <m:rPr>
            <m:sty m:val="p"/>
          </m:rPr>
          <w:rPr>
            <w:rFonts w:ascii="Cambria Math" w:hAnsi="Cambria Math"/>
          </w:rPr>
          <m:t>=</m:t>
        </m:r>
        <m:r>
          <m:rPr>
            <m:sty m:val="b"/>
          </m:rPr>
          <w:rPr>
            <w:rFonts w:ascii="Cambria Math" w:hAnsi="Cambria Math"/>
          </w:rPr>
          <m:t>0</m:t>
        </m:r>
      </m:oMath>
      <w:r w:rsidR="00143500">
        <w:t xml:space="preserve"> and </w:t>
      </w:r>
      <m:oMath>
        <m:r>
          <m:rPr>
            <m:sty m:val="p"/>
          </m:rPr>
          <w:rPr>
            <w:rFonts w:ascii="Cambria Math" w:hAnsi="Cambria Math"/>
          </w:rPr>
          <m:t>Var</m:t>
        </m:r>
        <m:d>
          <m:dPr>
            <m:begChr m:val="["/>
            <m:endChr m:val="]"/>
            <m:ctrlPr>
              <w:rPr>
                <w:rFonts w:ascii="Cambria Math" w:hAnsi="Cambria Math"/>
              </w:rPr>
            </m:ctrlPr>
          </m:dPr>
          <m:e>
            <m:r>
              <m:rPr>
                <m:sty m:val="b"/>
              </m:rPr>
              <w:rPr>
                <w:rFonts w:ascii="Cambria Math" w:hAnsi="Cambria Math"/>
              </w:rPr>
              <m:t>e</m:t>
            </m:r>
          </m:e>
        </m:d>
        <m:r>
          <m:rPr>
            <m:sty m:val="p"/>
          </m:rPr>
          <w:rPr>
            <w:rFonts w:ascii="Cambria Math" w:hAnsi="Cambria Math"/>
          </w:rPr>
          <m:t>=</m:t>
        </m:r>
        <m:sSup>
          <m:sSupPr>
            <m:ctrlPr>
              <w:rPr>
                <w:rFonts w:ascii="Cambria Math" w:hAnsi="Cambria Math"/>
              </w:rPr>
            </m:ctrlPr>
          </m:sSupPr>
          <m:e>
            <m:r>
              <m:rPr>
                <m:sty m:val="b"/>
              </m:rPr>
              <w:rPr>
                <w:rFonts w:ascii="Cambria Math" w:hAnsi="Cambria Math"/>
              </w:rPr>
              <m:t>Θ</m:t>
            </m:r>
          </m:e>
          <m:sup>
            <m:r>
              <w:rPr>
                <w:rFonts w:ascii="Cambria Math" w:hAnsi="Cambria Math"/>
              </w:rPr>
              <m:t>(</m:t>
            </m:r>
            <m:r>
              <w:rPr>
                <w:rFonts w:ascii="Cambria Math" w:hAnsi="Cambria Math"/>
                <w:lang w:eastAsia="ko-KR"/>
              </w:rPr>
              <m:t>sum</m:t>
            </m:r>
            <m:r>
              <w:rPr>
                <w:rFonts w:ascii="Cambria Math" w:hAnsi="Cambria Math"/>
              </w:rPr>
              <m:t>)</m:t>
            </m:r>
          </m:sup>
        </m:sSup>
      </m:oMath>
      <w:r>
        <w:t xml:space="preserve">, </w:t>
      </w:r>
      <w:r w:rsidR="004A1971">
        <w:t xml:space="preserve">is </w:t>
      </w:r>
    </w:p>
    <w:p w14:paraId="33992C66" w14:textId="1B0B2238" w:rsidR="00E93E3E" w:rsidRPr="004A1971" w:rsidRDefault="00000000" w:rsidP="00BD26F1">
      <w:pPr>
        <w:pStyle w:val="BodyText"/>
        <w:spacing w:before="240" w:after="0" w:line="480" w:lineRule="auto"/>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II</m:t>
              </m:r>
            </m:sub>
            <m:sup>
              <m:d>
                <m:dPr>
                  <m:ctrlPr>
                    <w:rPr>
                      <w:rFonts w:ascii="Cambria Math" w:hAnsi="Cambria Math"/>
                    </w:rPr>
                  </m:ctrlPr>
                </m:dPr>
                <m:e>
                  <m:r>
                    <m:rPr>
                      <m:nor/>
                    </m:rPr>
                    <w:rPr>
                      <w:rFonts w:ascii="Cambria Math"/>
                      <w:lang w:eastAsia="ko-KR"/>
                    </w:rPr>
                    <m:t>sum</m:t>
                  </m:r>
                </m:e>
              </m:d>
            </m:sup>
          </m:sSub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SS</m:t>
              </m:r>
            </m:sub>
            <m:sup>
              <m:d>
                <m:dPr>
                  <m:ctrlPr>
                    <w:rPr>
                      <w:rFonts w:ascii="Cambria Math" w:hAnsi="Cambria Math"/>
                    </w:rPr>
                  </m:ctrlPr>
                </m:dPr>
                <m:e>
                  <m:r>
                    <m:rPr>
                      <m:nor/>
                    </m:rPr>
                    <w:rPr>
                      <w:rFonts w:ascii="Cambria Math"/>
                      <w:lang w:eastAsia="ko-KR"/>
                    </w:rPr>
                    <m:t>sum</m:t>
                  </m:r>
                </m:e>
              </m:d>
            </m:sup>
          </m:sSub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e>
          </m:d>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IS</m:t>
              </m:r>
            </m:sub>
            <m:sup>
              <m:d>
                <m:dPr>
                  <m:ctrlPr>
                    <w:rPr>
                      <w:rFonts w:ascii="Cambria Math" w:hAnsi="Cambria Math"/>
                    </w:rPr>
                  </m:ctrlPr>
                </m:dPr>
                <m:e>
                  <m:r>
                    <m:rPr>
                      <m:nor/>
                    </m:rPr>
                    <w:rPr>
                      <w:rFonts w:ascii="Cambria Math"/>
                      <w:lang w:eastAsia="ko-KR"/>
                    </w:rPr>
                    <m:t>sum</m:t>
                  </m:r>
                </m:e>
              </m:d>
            </m:sup>
          </m:sSubSup>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1B96230A" w14:textId="54D2C300" w:rsidR="008115CF" w:rsidRPr="005148CE" w:rsidRDefault="00FE7D47" w:rsidP="00BD26F1">
      <w:pPr>
        <w:pStyle w:val="BodyText"/>
        <w:spacing w:before="240" w:after="0" w:line="480" w:lineRule="auto"/>
      </w:pPr>
      <w:r>
        <w:t xml:space="preserve">The </w:t>
      </w:r>
      <w:r w:rsidR="00B45C64">
        <w:rPr>
          <w:lang w:eastAsia="ko-KR"/>
        </w:rPr>
        <w:t xml:space="preserve">fitted </w:t>
      </w:r>
      <w:r>
        <w:t xml:space="preserve">analysis model </w:t>
      </w:r>
      <w:r w:rsidR="00FC0C13">
        <w:t xml:space="preserve">1-LGCM </w:t>
      </w:r>
      <w:r>
        <w:t>also</w:t>
      </w:r>
      <w:r w:rsidR="00FC0C13">
        <w:t xml:space="preserve"> include</w:t>
      </w:r>
      <w:r>
        <w:t>s</w:t>
      </w:r>
      <w:r w:rsidR="00FC0C13">
        <w:t xml:space="preserve"> </w:t>
      </w:r>
      <w:r>
        <w:t>a</w:t>
      </w:r>
      <w:r w:rsidR="00FC0C13">
        <w:t xml:space="preserve"> residual covariance between adjacent time points. </w:t>
      </w:r>
      <w:r>
        <w:t>Equations</w:t>
      </w:r>
      <w:r w:rsidR="00000000">
        <w:t xml:space="preserve"> (15) and (16) must agree for every pair of waves </w:t>
      </w:r>
      <m:oMath>
        <m:r>
          <w:rPr>
            <w:rFonts w:ascii="Cambria Math" w:hAnsi="Cambria Math"/>
          </w:rPr>
          <m:t>t</m:t>
        </m:r>
      </m:oMath>
      <w:r w:rsidR="00000000">
        <w:t xml:space="preserve"> and </w:t>
      </w:r>
      <m:oMath>
        <m:r>
          <w:rPr>
            <w:rFonts w:ascii="Cambria Math" w:hAnsi="Cambria Math"/>
          </w:rPr>
          <m:t>k</m:t>
        </m:r>
      </m:oMath>
      <w:r w:rsidR="00B45C64">
        <w:t xml:space="preserve"> and them </w:t>
      </w:r>
      <w:r w:rsidR="00CE0910">
        <w:lastRenderedPageBreak/>
        <w:t xml:space="preserve">does not redefine the residuals of </w:t>
      </w:r>
      <w:r w:rsidR="00B45C64">
        <w:t xml:space="preserve">the </w:t>
      </w:r>
      <w:r w:rsidR="00CE0910">
        <w:t xml:space="preserve">sum-score model. It expresses the entries of the already defined </w:t>
      </w:r>
      <m:oMath>
        <m:sSup>
          <m:sSupPr>
            <m:ctrlPr>
              <w:rPr>
                <w:rFonts w:ascii="Cambria Math" w:hAnsi="Cambria Math"/>
              </w:rPr>
            </m:ctrlPr>
          </m:sSupPr>
          <m:e>
            <m:r>
              <m:rPr>
                <m:sty m:val="b"/>
              </m:rPr>
              <w:rPr>
                <w:rFonts w:ascii="Cambria Math" w:hAnsi="Cambria Math"/>
              </w:rPr>
              <m:t>Θ</m:t>
            </m:r>
          </m:e>
          <m:sup>
            <m:d>
              <m:dPr>
                <m:ctrlPr>
                  <w:rPr>
                    <w:rFonts w:ascii="Cambria Math" w:hAnsi="Cambria Math"/>
                  </w:rPr>
                </m:ctrlPr>
              </m:dPr>
              <m:e>
                <m:r>
                  <m:rPr>
                    <m:sty m:val="p"/>
                  </m:rPr>
                  <w:rPr>
                    <w:rFonts w:ascii="Cambria Math" w:hAnsi="Cambria Math"/>
                  </w:rPr>
                  <m:t>sum</m:t>
                </m:r>
              </m:e>
            </m:d>
          </m:sup>
        </m:sSup>
      </m:oMath>
      <w:r w:rsidR="00CE0910">
        <w:t xml:space="preserve"> in terms of the generating quantities.</w:t>
      </w:r>
      <w:r w:rsidR="00CE0910">
        <w:t xml:space="preserve"> </w:t>
      </w:r>
      <w:r>
        <w:t xml:space="preserve">When </w:t>
      </w:r>
      <m:oMath>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2</m:t>
        </m:r>
      </m:oMath>
      <w:r>
        <w:t xml:space="preserve">, </w:t>
      </w:r>
      <w:r w:rsidR="00000000">
        <w:t xml:space="preserve">the residual terms on both </w:t>
      </w:r>
      <w:r w:rsidR="005148CE">
        <w:rPr>
          <w:lang w:eastAsia="ko-KR"/>
        </w:rPr>
        <w:t xml:space="preserve">equations </w:t>
      </w:r>
      <w:r w:rsidR="00000000">
        <w:t xml:space="preserve">vanish, </w:t>
      </w:r>
      <w:r>
        <w:t xml:space="preserve">and </w:t>
      </w:r>
      <w:r w:rsidR="00000000">
        <w:t xml:space="preserve">the non-adjacent elements </w:t>
      </w:r>
      <w:r w:rsidR="004D0106">
        <w:t xml:space="preserve">only </w:t>
      </w:r>
      <w:r>
        <w:t>involve</w:t>
      </w:r>
      <w:r w:rsidR="00000000">
        <w:t xml:space="preserve"> growth covariance</w:t>
      </w:r>
      <w:r w:rsidR="00BB359B">
        <w:rPr>
          <w:lang w:eastAsia="ko-KR"/>
        </w:rPr>
        <w:t>s</w:t>
      </w:r>
      <w:r w:rsidR="00000000">
        <w:t>.</w:t>
      </w:r>
      <w:r w:rsidR="0063548E">
        <w:t xml:space="preserve"> </w:t>
      </w:r>
      <w:r w:rsidR="005148CE">
        <w:t>Then, b</w:t>
      </w:r>
      <w:r w:rsidR="004D0106" w:rsidRPr="004D0106">
        <w:t>ecause the covariance is a linear combination of</w:t>
      </w:r>
      <w:r w:rsidR="00000000">
        <w:t xml:space="preserve"> </w:t>
      </w:r>
      <w:r w:rsidR="00BB359B">
        <w:t xml:space="preserve">1,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rsidR="00000000">
        <w:t xml:space="preserve">, and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e>
        </m:d>
      </m:oMath>
      <w:r w:rsidR="004D0106">
        <w:t>, matching the covariance force</w:t>
      </w:r>
      <w:r w:rsidR="008115CF">
        <w:rPr>
          <w:lang w:eastAsia="ko-KR"/>
        </w:rPr>
        <w:t>s</w:t>
      </w:r>
      <w:r w:rsidR="004D0106">
        <w:t xml:space="preserve"> covariances to agree</w:t>
      </w:r>
      <w:r w:rsidR="008115CF">
        <w:t xml:space="preserve"> as </w:t>
      </w:r>
      <w:r w:rsidR="008115CF" w:rsidRPr="008115CF">
        <w:rPr>
          <w:rFonts w:ascii="Cambria Math" w:hAnsi="Cambria Math"/>
        </w:rPr>
        <w:br/>
      </w:r>
      <m:oMathPara>
        <m:oMathParaPr>
          <m:jc m:val="right"/>
        </m:oMathParaPr>
        <m:oMath>
          <m:sSup>
            <m:sSupPr>
              <m:ctrlPr>
                <w:rPr>
                  <w:rFonts w:ascii="Cambria Math" w:hAnsi="Cambria Math"/>
                </w:rPr>
              </m:ctrlPr>
            </m:sSupPr>
            <m:e>
              <m:r>
                <m:rPr>
                  <m:sty m:val="b"/>
                </m:rPr>
                <w:rPr>
                  <w:rFonts w:ascii="Cambria Math" w:hAnsi="Cambria Math"/>
                </w:rPr>
                <m:t>Φ</m:t>
              </m:r>
            </m:e>
            <m:sup>
              <m:d>
                <m:dPr>
                  <m:ctrlPr>
                    <w:rPr>
                      <w:rFonts w:ascii="Cambria Math" w:hAnsi="Cambria Math"/>
                    </w:rPr>
                  </m:ctrlPr>
                </m:dPr>
                <m:e>
                  <m:r>
                    <m:rPr>
                      <m:nor/>
                    </m:rPr>
                    <m:t>sum</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b"/>
            </m:rPr>
            <w:rPr>
              <w:rFonts w:ascii="Cambria Math" w:hAnsi="Cambria Math"/>
            </w:rPr>
            <m:t>Φ,</m:t>
          </m:r>
          <m:r>
            <w:rPr>
              <w:rFonts w:ascii="Cambria Math" w:hAnsi="Cambria Math"/>
            </w:rPr>
            <m:t>  </m:t>
          </m:r>
          <m:r>
            <w:rPr>
              <w:rFonts w:ascii="Cambria Math" w:hAnsi="Cambria Math"/>
            </w:rPr>
            <w:tab/>
            <m:t xml:space="preserve">                                                    </m:t>
          </m:r>
          <m:d>
            <m:dPr>
              <m:ctrlPr>
                <w:rPr>
                  <w:rFonts w:ascii="Cambria Math" w:hAnsi="Cambria Math"/>
                </w:rPr>
              </m:ctrlPr>
            </m:dPr>
            <m:e>
              <m:r>
                <w:rPr>
                  <w:rFonts w:ascii="Cambria Math" w:hAnsi="Cambria Math"/>
                </w:rPr>
                <m:t>17</m:t>
              </m:r>
            </m:e>
          </m:d>
        </m:oMath>
      </m:oMathPara>
    </w:p>
    <w:p w14:paraId="164922B8" w14:textId="1BCA2049" w:rsidR="00E93E3E" w:rsidRDefault="008115CF" w:rsidP="00BD26F1">
      <w:pPr>
        <w:pStyle w:val="FirstParagraph"/>
        <w:spacing w:before="240" w:after="0" w:line="480" w:lineRule="auto"/>
      </w:pPr>
      <w:r>
        <w:t>T</w:t>
      </w:r>
      <w:r w:rsidR="00000000">
        <w:t xml:space="preserve">he adjacent and same-wave elements </w:t>
      </w:r>
      <w:r w:rsidR="00FE7D47">
        <w:t xml:space="preserve">then </w:t>
      </w:r>
      <w:r w:rsidR="00000000">
        <w:t>determine the residual parameters one by one as:</w:t>
      </w:r>
    </w:p>
    <w:p w14:paraId="4EEEF819" w14:textId="514629EF" w:rsidR="00E93E3E" w:rsidRPr="005148CE" w:rsidRDefault="00000000" w:rsidP="00BD26F1">
      <w:pPr>
        <w:pStyle w:val="FirstParagraph"/>
        <w:spacing w:before="240" w:after="0" w:line="480" w:lineRule="auto"/>
      </w:pPr>
      <m:oMathPara>
        <m:oMathParaPr>
          <m:jc m:val="right"/>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r>
                      <m:rPr>
                        <m:sty m:val="p"/>
                      </m:rPr>
                      <w:rPr>
                        <w:rFonts w:ascii="Cambria Math" w:hAnsi="Cambria Math"/>
                      </w:rPr>
                      <m:t>Cov</m:t>
                    </m:r>
                  </m:e>
                </m:nary>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ik</m:t>
                        </m:r>
                      </m:sub>
                    </m:sSub>
                  </m:e>
                </m:d>
                <m:r>
                  <w:rPr>
                    <w:rFonts w:ascii="Cambria Math" w:hAnsi="Cambria Math"/>
                  </w:rPr>
                  <m:t> </m:t>
                </m:r>
                <m:d>
                  <m:dPr>
                    <m:ctrlPr>
                      <w:rPr>
                        <w:rFonts w:ascii="Cambria Math" w:hAnsi="Cambria Math"/>
                      </w:rPr>
                    </m:ctrlPr>
                  </m:d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1</m:t>
                    </m:r>
                  </m:e>
                </m:d>
              </m:e>
            </m:m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e>
              <m:e>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I</m:t>
                    </m:r>
                  </m:sup>
                  <m:e>
                    <m:r>
                      <m:rPr>
                        <m:sty m:val="p"/>
                      </m:rPr>
                      <w:rPr>
                        <w:rFonts w:ascii="Cambria Math" w:hAnsi="Cambria Math"/>
                      </w:rPr>
                      <m:t>Var</m:t>
                    </m:r>
                  </m:e>
                </m:nary>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it</m:t>
                        </m:r>
                      </m:sub>
                    </m:sSub>
                  </m:e>
                </m:d>
                <m:r>
                  <w:rPr>
                    <w:rFonts w:ascii="Cambria Math" w:hAnsi="Cambria Math"/>
                  </w:rPr>
                  <m:t> </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e>
            </m:mr>
          </m:m>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18</m:t>
              </m:r>
            </m:e>
          </m:d>
        </m:oMath>
      </m:oMathPara>
    </w:p>
    <w:p w14:paraId="0269DEAC" w14:textId="77777777" w:rsidR="00675FD1" w:rsidRDefault="00000000" w:rsidP="00675FD1">
      <w:pPr>
        <w:pStyle w:val="FirstParagraph"/>
        <w:spacing w:before="240" w:after="0" w:line="480" w:lineRule="auto"/>
      </w:pPr>
      <w:r>
        <w:t xml:space="preserve">By </w:t>
      </w:r>
      <w:r w:rsidR="005148CE">
        <w:t>E</w:t>
      </w:r>
      <w:r>
        <w:t xml:space="preserve">quation (14), the first line </w:t>
      </w:r>
      <w:r w:rsidR="00FE7D47">
        <w:t>gives</w:t>
      </w:r>
      <w:r>
        <w:t xml:space="preserve"> </w:t>
      </w:r>
      <m:oMath>
        <m:sSup>
          <m:sSupPr>
            <m:ctrlPr>
              <w:rPr>
                <w:rFonts w:ascii="Cambria Math" w:hAnsi="Cambria Math"/>
              </w:rPr>
            </m:ctrlPr>
          </m:sSupPr>
          <m:e>
            <m:r>
              <m:rPr>
                <m:sty m:val="b"/>
              </m:rPr>
              <w:rPr>
                <w:rFonts w:ascii="Cambria Math" w:hAnsi="Cambria Math"/>
              </w:rPr>
              <m:t>Φ</m:t>
            </m:r>
          </m:e>
          <m:sup>
            <m:d>
              <m:dPr>
                <m:ctrlPr>
                  <w:rPr>
                    <w:rFonts w:ascii="Cambria Math" w:hAnsi="Cambria Math"/>
                  </w:rPr>
                </m:ctrlPr>
              </m:dPr>
              <m:e>
                <m:r>
                  <m:rPr>
                    <m:nor/>
                  </m:rPr>
                  <m:t>sum</m:t>
                </m:r>
              </m:e>
            </m:d>
          </m:sup>
        </m:sSup>
        <m:r>
          <m:rPr>
            <m:sty m:val="p"/>
          </m:rPr>
          <w:rPr>
            <w:rFonts w:ascii="Cambria Math" w:hAnsi="Cambria Math"/>
          </w:rPr>
          <m:t>=</m:t>
        </m:r>
        <m:sSup>
          <m:sSupPr>
            <m:ctrlPr>
              <w:rPr>
                <w:rFonts w:ascii="Cambria Math" w:hAnsi="Cambria Math"/>
              </w:rPr>
            </m:ctrlPr>
          </m:sSupPr>
          <m:e>
            <m:r>
              <m:rPr>
                <m:sty m:val="b"/>
              </m:rPr>
              <w:rPr>
                <w:rFonts w:ascii="Cambria Math" w:hAnsi="Cambria Math"/>
              </w:rPr>
              <m:t>Φ</m:t>
            </m:r>
          </m:e>
          <m:sup>
            <m:d>
              <m:dPr>
                <m:ctrlPr>
                  <w:rPr>
                    <w:rFonts w:ascii="Cambria Math" w:hAnsi="Cambria Math"/>
                  </w:rPr>
                </m:ctrlPr>
              </m:dPr>
              <m:e>
                <m:r>
                  <m:rPr>
                    <m:nor/>
                  </m:rPr>
                  <m:t>ec</m:t>
                </m:r>
              </m:e>
            </m:d>
          </m:sup>
        </m:sSup>
      </m:oMath>
      <w:r w:rsidR="00FE7D47">
        <w:t>. Thus, even when</w:t>
      </w:r>
      <w:r>
        <w:t xml:space="preserve"> CU is present</w:t>
      </w:r>
      <w:r w:rsidR="00502285">
        <w:t xml:space="preserve">, </w:t>
      </w:r>
      <w:r w:rsidR="00FE7D47" w:rsidRPr="00FE7D47">
        <w:t>1-LGCM</w:t>
      </w:r>
      <w:r w:rsidR="005148CE">
        <w:t>,</w:t>
      </w:r>
      <w:r w:rsidR="00FE7D47" w:rsidRPr="00FE7D47">
        <w:t xml:space="preserve"> </w:t>
      </w:r>
      <w:r w:rsidR="005148CE">
        <w:rPr>
          <w:lang w:eastAsia="ko-KR"/>
        </w:rPr>
        <w:t>specifying</w:t>
      </w:r>
      <w:r w:rsidR="00FE7D47" w:rsidRPr="00FE7D47">
        <w:t xml:space="preserve"> the matching lag-1 structure</w:t>
      </w:r>
      <w:r w:rsidR="00CE0910">
        <w:t>,</w:t>
      </w:r>
      <w:r w:rsidR="00FE7D47" w:rsidRPr="00FE7D47">
        <w:t xml:space="preserve"> recovers the same EC-fitted growth covariance</w:t>
      </w:r>
      <w:r w:rsidR="00D00646">
        <w:t>s</w:t>
      </w:r>
      <w:r w:rsidR="00FE7D47" w:rsidRPr="00FE7D47">
        <w:t>.</w:t>
      </w:r>
      <w:r w:rsidR="0063548E">
        <w:t xml:space="preserve"> </w:t>
      </w:r>
    </w:p>
    <w:p w14:paraId="157796FF" w14:textId="2DE9EE5B" w:rsidR="00F93259" w:rsidRDefault="00DA4932" w:rsidP="00675FD1">
      <w:pPr>
        <w:pStyle w:val="FirstParagraph"/>
        <w:spacing w:before="240" w:after="0" w:line="480" w:lineRule="auto"/>
        <w:ind w:firstLine="720"/>
      </w:pPr>
      <w:r w:rsidRPr="00DA4932">
        <w:rPr>
          <w:lang w:eastAsia="ko-KR"/>
        </w:rPr>
        <w:t xml:space="preserve">Equation (18) expresses the residual covariances of the sum-score 1-LGCM in terms of the generating </w:t>
      </w:r>
      <w:r w:rsidR="005148CE">
        <w:rPr>
          <w:lang w:eastAsia="ko-KR"/>
        </w:rPr>
        <w:t xml:space="preserve">model, </w:t>
      </w:r>
      <w:r w:rsidRPr="00DA4932">
        <w:rPr>
          <w:lang w:eastAsia="ko-KR"/>
        </w:rPr>
        <w:t>2-LGC</w:t>
      </w:r>
      <w:r w:rsidR="005148CE">
        <w:rPr>
          <w:lang w:eastAsia="ko-KR"/>
        </w:rPr>
        <w:t>M</w:t>
      </w:r>
      <w:r>
        <w:rPr>
          <w:lang w:eastAsia="ko-KR"/>
        </w:rPr>
        <w:t xml:space="preserve">. </w:t>
      </w:r>
      <w:r w:rsidR="00000000">
        <w:t xml:space="preserve">The adjacent residual covariances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oMath>
      <w:r w:rsidR="00502285">
        <w:t xml:space="preserve"> </w:t>
      </w:r>
      <w:r w:rsidR="008660EC">
        <w:t xml:space="preserve">in 1-LGCM </w:t>
      </w:r>
      <w:r w:rsidR="00000000">
        <w:t>absorb the CU in full</w:t>
      </w:r>
      <w:r w:rsidR="00FE7D47">
        <w:t>,</w:t>
      </w:r>
      <w:r w:rsidR="00000000">
        <w:t xml:space="preserve"> so that it never </w:t>
      </w:r>
      <w:r w:rsidR="00A537DE">
        <w:t>confounds</w:t>
      </w:r>
      <w:r w:rsidR="00000000">
        <w:t xml:space="preserve"> the growth block</w:t>
      </w:r>
      <w:r w:rsidR="00FE7D47">
        <w:t>. T</w:t>
      </w:r>
      <w:r w:rsidR="00000000">
        <w:t xml:space="preserve">he </w:t>
      </w:r>
      <w:r w:rsidR="00D00646">
        <w:t xml:space="preserve">residual variance at </w:t>
      </w:r>
      <m:oMath>
        <m:r>
          <w:rPr>
            <w:rFonts w:ascii="Cambria Math" w:hAnsi="Cambria Math"/>
          </w:rPr>
          <m:t>t</m:t>
        </m:r>
      </m:oMath>
      <w:r w:rsidR="00000000">
        <w:t xml:space="preserve"> carr</w:t>
      </w:r>
      <w:r w:rsidR="00D00646">
        <w:t>ies</w:t>
      </w:r>
      <w:r w:rsidR="00000000">
        <w:t xml:space="preserve"> the rescaled disturbance from the latent </w:t>
      </w:r>
      <w:r w:rsidR="00CE0910">
        <w:t>factor</w:t>
      </w:r>
      <w:r w:rsidR="00D00646">
        <w:t xml:space="preserve"> at </w:t>
      </w:r>
      <m:oMath>
        <m:r>
          <w:rPr>
            <w:rFonts w:ascii="Cambria Math" w:hAnsi="Cambria Math"/>
          </w:rPr>
          <m:t>t</m:t>
        </m:r>
      </m:oMath>
      <w:r w:rsidR="00000000">
        <w:t xml:space="preserve"> and the summed indicator residual variances together.</w:t>
      </w:r>
      <w:r w:rsidR="00803350">
        <w:t xml:space="preserve"> </w:t>
      </w:r>
      <w:r w:rsidR="00F93259" w:rsidRPr="00F93259">
        <w:t xml:space="preserve">In conclusion, </w:t>
      </w:r>
      <w:r w:rsidR="00803350">
        <w:rPr>
          <w:lang w:eastAsia="ko-KR"/>
        </w:rPr>
        <w:t>e</w:t>
      </w:r>
      <w:r w:rsidR="00F93259" w:rsidRPr="00F93259">
        <w:t>ven in the presence of CU, the growth factor variances and covariances of the sum-score 1-LGCM also match those of the EC-fitted 2-LGCM, provided the sum-score model specifies the matching residual structure.</w:t>
      </w:r>
    </w:p>
    <w:p w14:paraId="140B28C1" w14:textId="38C5C086" w:rsidR="0085723C" w:rsidRPr="00675FD1" w:rsidRDefault="0085723C" w:rsidP="00675FD1">
      <w:pPr>
        <w:pStyle w:val="BodyText"/>
        <w:spacing w:before="360" w:after="60" w:line="360" w:lineRule="auto"/>
        <w:ind w:right="562"/>
        <w:rPr>
          <w:b/>
          <w:bCs/>
          <w:i/>
          <w:iCs/>
        </w:rPr>
      </w:pPr>
      <w:r w:rsidRPr="00675FD1">
        <w:rPr>
          <w:b/>
          <w:bCs/>
          <w:i/>
          <w:iCs/>
        </w:rPr>
        <w:lastRenderedPageBreak/>
        <w:t>3.5 From Analytic Equivalence to Finite-Sample Behavior</w:t>
      </w:r>
    </w:p>
    <w:p w14:paraId="1E7482AD" w14:textId="6FF63183" w:rsidR="009A014E" w:rsidRDefault="009A014E" w:rsidP="00BD26F1">
      <w:pPr>
        <w:pStyle w:val="BodyText"/>
        <w:spacing w:before="240" w:after="0" w:line="480" w:lineRule="auto"/>
      </w:pPr>
      <w:r>
        <w:t xml:space="preserve">Sections 3.1 through 3.4 place the two models on </w:t>
      </w:r>
      <w:r w:rsidR="008660EC">
        <w:t>the same</w:t>
      </w:r>
      <w:r>
        <w:t xml:space="preserve"> scale </w:t>
      </w:r>
      <w:r w:rsidR="008660EC">
        <w:t xml:space="preserve">using effects-coding </w:t>
      </w:r>
      <w:r>
        <w:t>and show what each</w:t>
      </w:r>
      <w:r>
        <w:rPr>
          <w:rFonts w:hint="eastAsia"/>
          <w:lang w:eastAsia="ko-KR"/>
        </w:rPr>
        <w:t xml:space="preserve"> </w:t>
      </w:r>
      <w:r w:rsidR="00406213">
        <w:t>recover</w:t>
      </w:r>
      <w:r>
        <w:t xml:space="preserve"> in the population. Under strong invariance their growth means</w:t>
      </w:r>
      <w:r>
        <w:t xml:space="preserve"> </w:t>
      </w:r>
      <w:r>
        <w:t xml:space="preserve">and covariances coincide, </w:t>
      </w:r>
      <m:oMath>
        <m:sSup>
          <m:sSupPr>
            <m:ctrlPr>
              <w:rPr>
                <w:rFonts w:ascii="Cambria Math" w:hAnsi="Cambria Math"/>
                <w:iCs/>
              </w:rPr>
            </m:ctrlPr>
          </m:sSupPr>
          <m:e>
            <m:r>
              <m:rPr>
                <m:sty m:val="b"/>
              </m:rPr>
              <w:rPr>
                <w:rFonts w:ascii="Cambria Math" w:hAnsi="Cambria Math"/>
              </w:rPr>
              <m:t>κ</m:t>
            </m:r>
          </m:e>
          <m:sup>
            <m:d>
              <m:dPr>
                <m:ctrlPr>
                  <w:rPr>
                    <w:rFonts w:ascii="Cambria Math" w:hAnsi="Cambria Math"/>
                    <w:iCs/>
                  </w:rPr>
                </m:ctrlPr>
              </m:dPr>
              <m:e>
                <m:r>
                  <m:rPr>
                    <m:sty m:val="p"/>
                  </m:rPr>
                  <w:rPr>
                    <w:rFonts w:ascii="Cambria Math" w:hAnsi="Cambria Math"/>
                  </w:rPr>
                  <m:t>sum</m:t>
                </m:r>
              </m:e>
            </m:d>
          </m:sup>
        </m:sSup>
        <m:r>
          <m:rPr>
            <m:sty m:val="p"/>
          </m:rPr>
          <w:rPr>
            <w:rFonts w:ascii="Cambria Math" w:hAnsi="Cambria Math"/>
          </w:rPr>
          <m:t>=</m:t>
        </m:r>
        <m:sSup>
          <m:sSupPr>
            <m:ctrlPr>
              <w:rPr>
                <w:rFonts w:ascii="Cambria Math" w:hAnsi="Cambria Math"/>
                <w:iCs/>
              </w:rPr>
            </m:ctrlPr>
          </m:sSupPr>
          <m:e>
            <m:r>
              <m:rPr>
                <m:sty m:val="b"/>
              </m:rPr>
              <w:rPr>
                <w:rFonts w:ascii="Cambria Math" w:hAnsi="Cambria Math"/>
              </w:rPr>
              <m:t>κ</m:t>
            </m:r>
          </m:e>
          <m:sup>
            <m:d>
              <m:dPr>
                <m:ctrlPr>
                  <w:rPr>
                    <w:rFonts w:ascii="Cambria Math" w:hAnsi="Cambria Math"/>
                    <w:iCs/>
                  </w:rPr>
                </m:ctrlPr>
              </m:dPr>
              <m:e>
                <m:r>
                  <m:rPr>
                    <m:sty m:val="p"/>
                  </m:rPr>
                  <w:rPr>
                    <w:rFonts w:ascii="Cambria Math" w:hAnsi="Cambria Math"/>
                  </w:rPr>
                  <m:t>ec</m:t>
                </m:r>
              </m:e>
            </m:d>
          </m:sup>
        </m:sSup>
      </m:oMath>
      <w:r>
        <w:t xml:space="preserve"> and </w:t>
      </w:r>
      <m:oMath>
        <m:sSup>
          <m:sSupPr>
            <m:ctrlPr>
              <w:rPr>
                <w:rFonts w:ascii="Cambria Math" w:hAnsi="Cambria Math"/>
                <w:iCs/>
              </w:rPr>
            </m:ctrlPr>
          </m:sSupPr>
          <m:e>
            <m:r>
              <m:rPr>
                <m:sty m:val="b"/>
              </m:rPr>
              <w:rPr>
                <w:rFonts w:ascii="Cambria Math" w:hAnsi="Cambria Math"/>
              </w:rPr>
              <m:t>Φ</m:t>
            </m:r>
          </m:e>
          <m:sup>
            <m:d>
              <m:dPr>
                <m:ctrlPr>
                  <w:rPr>
                    <w:rFonts w:ascii="Cambria Math" w:hAnsi="Cambria Math"/>
                    <w:iCs/>
                  </w:rPr>
                </m:ctrlPr>
              </m:dPr>
              <m:e>
                <m:r>
                  <m:rPr>
                    <m:sty m:val="p"/>
                  </m:rPr>
                  <w:rPr>
                    <w:rFonts w:ascii="Cambria Math" w:hAnsi="Cambria Math"/>
                  </w:rPr>
                  <m:t>sum</m:t>
                </m:r>
              </m:e>
            </m:d>
          </m:sup>
        </m:sSup>
        <m:r>
          <m:rPr>
            <m:sty m:val="p"/>
          </m:rPr>
          <w:rPr>
            <w:rFonts w:ascii="Cambria Math" w:hAnsi="Cambria Math"/>
          </w:rPr>
          <m:t>=</m:t>
        </m:r>
        <m:sSup>
          <m:sSupPr>
            <m:ctrlPr>
              <w:rPr>
                <w:rFonts w:ascii="Cambria Math" w:hAnsi="Cambria Math"/>
                <w:iCs/>
              </w:rPr>
            </m:ctrlPr>
          </m:sSupPr>
          <m:e>
            <m:r>
              <m:rPr>
                <m:sty m:val="b"/>
              </m:rPr>
              <w:rPr>
                <w:rFonts w:ascii="Cambria Math" w:hAnsi="Cambria Math"/>
              </w:rPr>
              <m:t>Φ</m:t>
            </m:r>
          </m:e>
          <m:sup>
            <m:d>
              <m:dPr>
                <m:ctrlPr>
                  <w:rPr>
                    <w:rFonts w:ascii="Cambria Math" w:hAnsi="Cambria Math"/>
                    <w:iCs/>
                  </w:rPr>
                </m:ctrlPr>
              </m:dPr>
              <m:e>
                <m:r>
                  <m:rPr>
                    <m:sty m:val="p"/>
                  </m:rPr>
                  <w:rPr>
                    <w:rFonts w:ascii="Cambria Math" w:hAnsi="Cambria Math"/>
                  </w:rPr>
                  <m:t>ec</m:t>
                </m:r>
              </m:e>
            </m:d>
          </m:sup>
        </m:sSup>
      </m:oMath>
      <w:r>
        <w:t>, and this still</w:t>
      </w:r>
      <w:r>
        <w:t xml:space="preserve"> </w:t>
      </w:r>
      <w:r>
        <w:t xml:space="preserve">holds </w:t>
      </w:r>
      <w:r w:rsidR="008660EC">
        <w:t xml:space="preserve">even </w:t>
      </w:r>
      <w:r>
        <w:t xml:space="preserve">when lag-1 </w:t>
      </w:r>
      <w:r>
        <w:t>CU</w:t>
      </w:r>
      <w:r>
        <w:t xml:space="preserve"> is present </w:t>
      </w:r>
      <w:r w:rsidR="008660EC">
        <w:t>if</w:t>
      </w:r>
      <w:r>
        <w:t xml:space="preserve"> the analysis</w:t>
      </w:r>
      <w:r>
        <w:t xml:space="preserve"> </w:t>
      </w:r>
      <w:r>
        <w:t xml:space="preserve">model </w:t>
      </w:r>
      <w:r>
        <w:t>specifies</w:t>
      </w:r>
      <w:r>
        <w:t xml:space="preserve"> the </w:t>
      </w:r>
      <w:r w:rsidR="008660EC">
        <w:t>corresponding</w:t>
      </w:r>
      <w:r>
        <w:t xml:space="preserve"> residual covariances. In that sense</w:t>
      </w:r>
      <w:r>
        <w:t>,</w:t>
      </w:r>
      <w:r>
        <w:t xml:space="preserve"> the sum-score</w:t>
      </w:r>
      <w:r>
        <w:t xml:space="preserve"> </w:t>
      </w:r>
      <w:r>
        <w:t>1-LGCM carries no systematic bias relative to the latent</w:t>
      </w:r>
      <w:r w:rsidR="008660EC">
        <w:t xml:space="preserve"> </w:t>
      </w:r>
      <w:r>
        <w:t xml:space="preserve">variable </w:t>
      </w:r>
      <w:r w:rsidR="008660EC">
        <w:t>2-LGCM</w:t>
      </w:r>
      <w:r>
        <w:t>.</w:t>
      </w:r>
    </w:p>
    <w:p w14:paraId="6B50F792" w14:textId="52E450E5" w:rsidR="009A014E" w:rsidRDefault="000E67DB" w:rsidP="00C763DE">
      <w:pPr>
        <w:pStyle w:val="BodyText"/>
        <w:spacing w:before="240" w:after="0" w:line="480" w:lineRule="auto"/>
        <w:ind w:firstLine="720"/>
      </w:pPr>
      <w:r>
        <w:t>These results</w:t>
      </w:r>
      <w:r>
        <w:t>, however,</w:t>
      </w:r>
      <w:r>
        <w:t xml:space="preserve"> describe the population, and they assume the model is specified correctl</w:t>
      </w:r>
      <w:r>
        <w:t>y, which brings up three questions</w:t>
      </w:r>
      <w:r>
        <w:t xml:space="preserve">. First, how fast the equivalence </w:t>
      </w:r>
      <w:r>
        <w:t>is achieved</w:t>
      </w:r>
      <w:r>
        <w:t xml:space="preserve"> at</w:t>
      </w:r>
      <w:r w:rsidR="00792A5B">
        <w:t xml:space="preserve"> the</w:t>
      </w:r>
      <w:r>
        <w:t xml:space="preserve"> finite sample sizes. </w:t>
      </w:r>
      <w:r w:rsidR="002E0C99" w:rsidRPr="002E0C99">
        <w:t>A model can be asymptotically unbiased and still recover parameters poorly when the sample size is limited in practice</w:t>
      </w:r>
      <w:r>
        <w:t>. With limited time points or</w:t>
      </w:r>
      <w:r>
        <w:t xml:space="preserve"> low </w:t>
      </w:r>
      <w:r>
        <w:t xml:space="preserve">measurement quality </w:t>
      </w:r>
      <w:r w:rsidR="00792A5B">
        <w:t xml:space="preserve">may </w:t>
      </w:r>
      <w:r w:rsidR="002E0C99">
        <w:t xml:space="preserve">further </w:t>
      </w:r>
      <w:r>
        <w:t xml:space="preserve">degrade </w:t>
      </w:r>
      <w:r>
        <w:t xml:space="preserve">convergence </w:t>
      </w:r>
      <w:r>
        <w:t xml:space="preserve">rates </w:t>
      </w:r>
      <w:r w:rsidR="00AF1094">
        <w:t>as well</w:t>
      </w:r>
      <w:r>
        <w:t xml:space="preserve">. </w:t>
      </w:r>
      <w:r w:rsidR="002E0C99" w:rsidRPr="002E0C99">
        <w:t>Second, the two models have different likelihoods, so their standard errors, coverage, and power may differ even when their bias does not</w:t>
      </w:r>
      <w:r>
        <w:t xml:space="preserve">. Third, the derivation assumes the residual structure is </w:t>
      </w:r>
      <w:r>
        <w:t>modeled</w:t>
      </w:r>
      <w:r>
        <w:t xml:space="preserve"> correctly. A researcher may instead ignore the </w:t>
      </w:r>
      <w:r>
        <w:t>CU for identification purpose,</w:t>
      </w:r>
      <w:r>
        <w:t xml:space="preserve"> or model it</w:t>
      </w:r>
      <w:r>
        <w:t xml:space="preserve"> </w:t>
      </w:r>
      <w:r>
        <w:t xml:space="preserve">when it is </w:t>
      </w:r>
      <w:r w:rsidR="002E0C99">
        <w:t xml:space="preserve">in fact </w:t>
      </w:r>
      <w:r>
        <w:t>absent, and the</w:t>
      </w:r>
      <w:r w:rsidR="00792A5B">
        <w:t xml:space="preserve"> </w:t>
      </w:r>
      <w:r>
        <w:t>derivation does not describe what happens then.</w:t>
      </w:r>
    </w:p>
    <w:p w14:paraId="2817430B" w14:textId="6A1468A7" w:rsidR="00E85538" w:rsidRPr="009A014E" w:rsidRDefault="00E85538" w:rsidP="00BD26F1">
      <w:pPr>
        <w:pStyle w:val="BodyText"/>
        <w:spacing w:before="240" w:after="0" w:line="480" w:lineRule="auto"/>
        <w:rPr>
          <w:rFonts w:hint="eastAsia"/>
          <w:lang w:eastAsia="ko-KR"/>
        </w:rPr>
      </w:pPr>
      <w:r>
        <w:tab/>
      </w:r>
      <w:r w:rsidR="00792A5B" w:rsidRPr="002E0C99">
        <w:t>In the following section, a</w:t>
      </w:r>
      <w:r w:rsidRPr="002E0C99">
        <w:t xml:space="preserve"> simulation study addresses these three points. </w:t>
      </w:r>
      <w:r w:rsidR="000E4402" w:rsidRPr="002E0C99">
        <w:t xml:space="preserve">When </w:t>
      </w:r>
      <w:r w:rsidR="00B702B8" w:rsidRPr="002E0C99">
        <w:rPr>
          <w:lang w:eastAsia="ko-KR"/>
        </w:rPr>
        <w:t>EC</w:t>
      </w:r>
      <w:r w:rsidR="00792A5B" w:rsidRPr="002E0C99">
        <w:rPr>
          <w:lang w:eastAsia="ko-KR"/>
        </w:rPr>
        <w:t xml:space="preserve"> is used</w:t>
      </w:r>
      <w:r w:rsidR="00846357" w:rsidRPr="002E0C99">
        <w:rPr>
          <w:rFonts w:hint="eastAsia"/>
          <w:lang w:eastAsia="ko-KR"/>
        </w:rPr>
        <w:t>,</w:t>
      </w:r>
      <w:r w:rsidR="000E4402" w:rsidRPr="002E0C99">
        <w:t xml:space="preserve"> any difference between </w:t>
      </w:r>
      <w:r w:rsidR="00792A5B" w:rsidRPr="002E0C99">
        <w:t>sum-score 1-LGCM and 2-LGCM</w:t>
      </w:r>
      <w:r w:rsidR="000E4402" w:rsidRPr="002E0C99">
        <w:t xml:space="preserve"> </w:t>
      </w:r>
      <w:r w:rsidR="002E0C99" w:rsidRPr="002E0C99">
        <w:t>at</w:t>
      </w:r>
      <w:r w:rsidR="002F1187" w:rsidRPr="002E0C99">
        <w:t xml:space="preserve"> finite sample </w:t>
      </w:r>
      <w:r w:rsidR="002E0C99" w:rsidRPr="002E0C99">
        <w:t xml:space="preserve">sizes </w:t>
      </w:r>
      <w:r w:rsidR="002F1187" w:rsidRPr="002E0C99">
        <w:t xml:space="preserve">appears </w:t>
      </w:r>
      <w:r w:rsidR="000E4402" w:rsidRPr="002E0C99">
        <w:t xml:space="preserve">in </w:t>
      </w:r>
      <w:r w:rsidR="00792A5B" w:rsidRPr="002E0C99">
        <w:t>the</w:t>
      </w:r>
      <w:r w:rsidR="002E0C99" w:rsidRPr="002E0C99">
        <w:t xml:space="preserve"> precision of the</w:t>
      </w:r>
      <w:r w:rsidR="00792A5B" w:rsidRPr="002E0C99">
        <w:t xml:space="preserve"> </w:t>
      </w:r>
      <w:r w:rsidR="002E0C99" w:rsidRPr="002E0C99">
        <w:t>estimates,</w:t>
      </w:r>
      <w:r w:rsidR="000E4402" w:rsidRPr="002E0C99">
        <w:t xml:space="preserve"> </w:t>
      </w:r>
      <w:r w:rsidR="002F1187" w:rsidRPr="002E0C99">
        <w:t>not by</w:t>
      </w:r>
      <w:r w:rsidR="000E4402" w:rsidRPr="002E0C99">
        <w:t xml:space="preserve"> </w:t>
      </w:r>
      <w:r w:rsidR="00792A5B" w:rsidRPr="002E0C99">
        <w:t xml:space="preserve">systematic </w:t>
      </w:r>
      <w:r w:rsidR="000E4402" w:rsidRPr="002E0C99">
        <w:t xml:space="preserve">bias. </w:t>
      </w:r>
      <w:r w:rsidR="00AF1094">
        <w:t>Additionally, w</w:t>
      </w:r>
      <w:r w:rsidR="00881344" w:rsidRPr="00881344">
        <w:t xml:space="preserve">hen CU is ignored, the unmodeled covariance </w:t>
      </w:r>
      <w:proofErr w:type="gramStart"/>
      <w:r w:rsidR="00881344" w:rsidRPr="00881344">
        <w:t>has to</w:t>
      </w:r>
      <w:proofErr w:type="gramEnd"/>
      <w:r w:rsidR="00881344" w:rsidRPr="00881344">
        <w:t xml:space="preserve"> go somewhere, and it is pushed into the other growth parameters, causing bias</w:t>
      </w:r>
      <w:r w:rsidR="002E0C99" w:rsidRPr="002E0C99">
        <w:t>.</w:t>
      </w:r>
    </w:p>
    <w:p w14:paraId="569F9279" w14:textId="77777777" w:rsidR="00E93E3E" w:rsidRPr="00C763DE" w:rsidRDefault="00000000" w:rsidP="00C763DE">
      <w:pPr>
        <w:pStyle w:val="Heading1"/>
        <w:spacing w:before="360" w:after="58" w:line="360" w:lineRule="auto"/>
        <w:ind w:right="562"/>
      </w:pPr>
      <w:bookmarkStart w:id="10" w:name="simulation-design"/>
      <w:bookmarkEnd w:id="5"/>
      <w:bookmarkEnd w:id="9"/>
      <w:r w:rsidRPr="00C763DE">
        <w:lastRenderedPageBreak/>
        <w:t>4 Simulation Design</w:t>
      </w:r>
    </w:p>
    <w:p w14:paraId="42C30F3D" w14:textId="77777777" w:rsidR="00E93E3E" w:rsidRPr="00C763DE" w:rsidRDefault="00000000" w:rsidP="00C763DE">
      <w:pPr>
        <w:pStyle w:val="Heading2"/>
        <w:spacing w:before="360" w:after="58" w:line="360" w:lineRule="auto"/>
        <w:ind w:right="562"/>
        <w:rPr>
          <w:b/>
          <w:bCs/>
        </w:rPr>
      </w:pPr>
      <w:bookmarkStart w:id="11" w:name="data-generating-model"/>
      <w:r w:rsidRPr="00C763DE">
        <w:rPr>
          <w:b/>
          <w:bCs/>
        </w:rPr>
        <w:t>4.1 Data-Generating Model</w:t>
      </w:r>
    </w:p>
    <w:p w14:paraId="502C647C" w14:textId="77777777" w:rsidR="00E93E3E" w:rsidRDefault="00000000" w:rsidP="00BD26F1">
      <w:pPr>
        <w:pStyle w:val="FirstParagraph"/>
        <w:spacing w:before="240" w:after="0" w:line="480" w:lineRule="auto"/>
      </w:pPr>
      <w:r>
        <w:t>The 2-LGCM was used as a data-generating model to define growth trajectory of latent construct at the population level. The growth trajectory is modeled as linear and the number of waves (</w:t>
      </w:r>
      <m:oMath>
        <m:r>
          <w:rPr>
            <w:rFonts w:ascii="Cambria Math" w:hAnsi="Cambria Math"/>
          </w:rPr>
          <m:t>T</m:t>
        </m:r>
      </m:oMath>
      <w:r>
        <w:t>) and number of indicators (</w:t>
      </w:r>
      <m:oMath>
        <m:r>
          <w:rPr>
            <w:rFonts w:ascii="Cambria Math" w:hAnsi="Cambria Math"/>
          </w:rPr>
          <m:t>I</m:t>
        </m:r>
      </m:oMath>
      <w:r>
        <w:t xml:space="preserve">) per wave are additionally manipulated as design conditions described as well. As a visual overview of the data-generating model, see the path diagram in Figure 1 of which example design with the </w:t>
      </w:r>
      <m:oMath>
        <m:r>
          <w:rPr>
            <w:rFonts w:ascii="Cambria Math" w:hAnsi="Cambria Math"/>
          </w:rPr>
          <m:t>T</m:t>
        </m:r>
        <m:r>
          <m:rPr>
            <m:sty m:val="p"/>
          </m:rPr>
          <w:rPr>
            <w:rFonts w:ascii="Cambria Math" w:hAnsi="Cambria Math"/>
          </w:rPr>
          <m:t>=</m:t>
        </m:r>
        <m:r>
          <w:rPr>
            <w:rFonts w:ascii="Cambria Math" w:hAnsi="Cambria Math"/>
          </w:rPr>
          <m:t>5</m:t>
        </m:r>
      </m:oMath>
      <w:r>
        <w:t xml:space="preserve"> and </w:t>
      </w:r>
      <m:oMath>
        <m:r>
          <w:rPr>
            <w:rFonts w:ascii="Cambria Math" w:hAnsi="Cambria Math"/>
          </w:rPr>
          <m:t>I</m:t>
        </m:r>
        <m:r>
          <m:rPr>
            <m:sty m:val="p"/>
          </m:rPr>
          <w:rPr>
            <w:rFonts w:ascii="Cambria Math" w:hAnsi="Cambria Math"/>
          </w:rPr>
          <m:t>=</m:t>
        </m:r>
        <m:r>
          <w:rPr>
            <w:rFonts w:ascii="Cambria Math" w:hAnsi="Cambria Math"/>
          </w:rPr>
          <m:t>5</m:t>
        </m:r>
      </m:oMath>
      <w:r>
        <w:t>. The simulated data were then analyzed using both the 1-LGCM with sum scores and the 2-LGCM with latent variables to compare the precision and accuracy of growth parameter estimates.</w:t>
      </w:r>
    </w:p>
    <w:p w14:paraId="5217D445" w14:textId="77777777" w:rsidR="00E93E3E" w:rsidRDefault="00000000" w:rsidP="008448A4">
      <w:pPr>
        <w:pStyle w:val="BodyText"/>
        <w:spacing w:before="240" w:after="0" w:line="480" w:lineRule="auto"/>
        <w:ind w:firstLine="720"/>
      </w:pPr>
      <w:r>
        <w:t>Regarding the fixed population parameter settings, the means of the growth intercept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and slope (</w:t>
      </w:r>
      <m:oMath>
        <m:sSub>
          <m:sSubPr>
            <m:ctrlPr>
              <w:rPr>
                <w:rFonts w:ascii="Cambria Math" w:hAnsi="Cambria Math"/>
              </w:rPr>
            </m:ctrlPr>
          </m:sSubPr>
          <m:e>
            <m:r>
              <w:rPr>
                <w:rFonts w:ascii="Cambria Math" w:hAnsi="Cambria Math"/>
              </w:rPr>
              <m:t>κ</m:t>
            </m:r>
          </m:e>
          <m:sub>
            <m:r>
              <w:rPr>
                <w:rFonts w:ascii="Cambria Math" w:hAnsi="Cambria Math"/>
              </w:rPr>
              <m:t>S</m:t>
            </m:r>
          </m:sub>
        </m:sSub>
      </m:oMath>
      <w:r>
        <w:t xml:space="preserve">) were fixed at 1 and .125, respectively, to examine the statistical power for detecting a non-zero intercept and slope. The growth factor covariance matrix was fixed at </w:t>
      </w:r>
      <m:oMath>
        <m:sSub>
          <m:sSubPr>
            <m:ctrlPr>
              <w:rPr>
                <w:rFonts w:ascii="Cambria Math" w:hAnsi="Cambria Math"/>
              </w:rPr>
            </m:ctrlPr>
          </m:sSubPr>
          <m:e>
            <m:r>
              <w:rPr>
                <w:rFonts w:ascii="Cambria Math" w:hAnsi="Cambria Math"/>
              </w:rPr>
              <m:t>ϕ</m:t>
            </m:r>
          </m:e>
          <m:sub>
            <m:r>
              <w:rPr>
                <w:rFonts w:ascii="Cambria Math" w:hAnsi="Cambria Math"/>
              </w:rPr>
              <m:t>II</m:t>
            </m:r>
          </m:sub>
        </m:sSub>
        <m:r>
          <m:rPr>
            <m:sty m:val="p"/>
          </m:rPr>
          <w:rPr>
            <w:rFonts w:ascii="Cambria Math" w:hAnsi="Cambria Math"/>
          </w:rPr>
          <m:t>=</m:t>
        </m:r>
        <m:r>
          <w:rPr>
            <w:rFonts w:ascii="Cambria Math" w:hAnsi="Cambria Math"/>
          </w:rPr>
          <m:t>1</m:t>
        </m:r>
      </m:oMath>
      <w:r>
        <w:t xml:space="preserve"> (intercept variance), </w:t>
      </w:r>
      <m:oMath>
        <m:sSub>
          <m:sSubPr>
            <m:ctrlPr>
              <w:rPr>
                <w:rFonts w:ascii="Cambria Math" w:hAnsi="Cambria Math"/>
              </w:rPr>
            </m:ctrlPr>
          </m:sSubPr>
          <m:e>
            <m:r>
              <w:rPr>
                <w:rFonts w:ascii="Cambria Math" w:hAnsi="Cambria Math"/>
              </w:rPr>
              <m:t>ϕ</m:t>
            </m:r>
          </m:e>
          <m:sub>
            <m:r>
              <w:rPr>
                <w:rFonts w:ascii="Cambria Math" w:hAnsi="Cambria Math"/>
              </w:rPr>
              <m:t>SS</m:t>
            </m:r>
          </m:sub>
        </m:sSub>
        <m:r>
          <m:rPr>
            <m:sty m:val="p"/>
          </m:rPr>
          <w:rPr>
            <w:rFonts w:ascii="Cambria Math" w:hAnsi="Cambria Math"/>
          </w:rPr>
          <m:t>=</m:t>
        </m:r>
        <m:r>
          <w:rPr>
            <w:rFonts w:ascii="Cambria Math" w:hAnsi="Cambria Math"/>
          </w:rPr>
          <m:t>.2025</m:t>
        </m:r>
      </m:oMath>
      <w:r>
        <w:t xml:space="preserve"> (slope variance), and </w:t>
      </w:r>
      <m:oMath>
        <m:sSub>
          <m:sSubPr>
            <m:ctrlPr>
              <w:rPr>
                <w:rFonts w:ascii="Cambria Math" w:hAnsi="Cambria Math"/>
              </w:rPr>
            </m:ctrlPr>
          </m:sSubPr>
          <m:e>
            <m:r>
              <w:rPr>
                <w:rFonts w:ascii="Cambria Math" w:hAnsi="Cambria Math"/>
              </w:rPr>
              <m:t>ϕ</m:t>
            </m:r>
          </m:e>
          <m:sub>
            <m:r>
              <w:rPr>
                <w:rFonts w:ascii="Cambria Math" w:hAnsi="Cambria Math"/>
              </w:rPr>
              <m:t>IS</m:t>
            </m:r>
          </m:sub>
        </m:sSub>
        <m:r>
          <m:rPr>
            <m:sty m:val="p"/>
          </m:rPr>
          <w:rPr>
            <w:rFonts w:ascii="Cambria Math" w:hAnsi="Cambria Math"/>
          </w:rPr>
          <m:t>=</m:t>
        </m:r>
        <m:r>
          <w:rPr>
            <w:rFonts w:ascii="Cambria Math" w:hAnsi="Cambria Math"/>
          </w:rPr>
          <m:t>.18</m:t>
        </m:r>
      </m:oMath>
      <w:r>
        <w:t xml:space="preserve"> (intercept-slope covariance), yielding an intercept-slope correlation of approximately .4, which can be considered a small-to-moderate relationship. The disturbance variance of the latent constructs was specified via a slightly decreasing sequence of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5</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1.203</m:t>
            </m:r>
            <m:r>
              <m:rPr>
                <m:sty m:val="p"/>
              </m:rPr>
              <w:rPr>
                <w:rFonts w:ascii="Cambria Math" w:hAnsi="Cambria Math"/>
              </w:rPr>
              <m:t>,</m:t>
            </m:r>
            <m:r>
              <w:rPr>
                <w:rFonts w:ascii="Cambria Math" w:hAnsi="Cambria Math"/>
              </w:rPr>
              <m:t> .96</m:t>
            </m:r>
            <m:r>
              <m:rPr>
                <m:sty m:val="p"/>
              </m:rPr>
              <w:rPr>
                <w:rFonts w:ascii="Cambria Math" w:hAnsi="Cambria Math"/>
              </w:rPr>
              <m:t>,</m:t>
            </m:r>
            <m:r>
              <w:rPr>
                <w:rFonts w:ascii="Cambria Math" w:hAnsi="Cambria Math"/>
              </w:rPr>
              <m:t> .902</m:t>
            </m:r>
            <m:r>
              <m:rPr>
                <m:sty m:val="p"/>
              </m:rPr>
              <w:rPr>
                <w:rFonts w:ascii="Cambria Math" w:hAnsi="Cambria Math"/>
              </w:rPr>
              <m:t>,</m:t>
            </m:r>
            <m:r>
              <w:rPr>
                <w:rFonts w:ascii="Cambria Math" w:hAnsi="Cambria Math"/>
              </w:rPr>
              <m:t> .865</m:t>
            </m:r>
            <m:r>
              <m:rPr>
                <m:sty m:val="p"/>
              </m:rPr>
              <w:rPr>
                <w:rFonts w:ascii="Cambria Math" w:hAnsi="Cambria Math"/>
              </w:rPr>
              <m:t>,</m:t>
            </m:r>
            <m:r>
              <w:rPr>
                <w:rFonts w:ascii="Cambria Math" w:hAnsi="Cambria Math"/>
              </w:rPr>
              <m:t> .828</m:t>
            </m:r>
          </m:e>
        </m:d>
      </m:oMath>
      <w:r>
        <w:t xml:space="preserve"> for the </w:t>
      </w:r>
      <m:oMath>
        <m:r>
          <w:rPr>
            <w:rFonts w:ascii="Cambria Math" w:hAnsi="Cambria Math"/>
          </w:rPr>
          <m:t>T</m:t>
        </m:r>
        <m:r>
          <m:rPr>
            <m:sty m:val="p"/>
          </m:rPr>
          <w:rPr>
            <w:rFonts w:ascii="Cambria Math" w:hAnsi="Cambria Math"/>
          </w:rPr>
          <m:t>=</m:t>
        </m:r>
        <m:r>
          <w:rPr>
            <w:rFonts w:ascii="Cambria Math" w:hAnsi="Cambria Math"/>
          </w:rPr>
          <m:t>5</m:t>
        </m:r>
      </m:oMath>
      <w:r>
        <w:t xml:space="preserve"> condition (with only the first three values used for </w:t>
      </w:r>
      <m:oMath>
        <m:r>
          <w:rPr>
            <w:rFonts w:ascii="Cambria Math" w:hAnsi="Cambria Math"/>
          </w:rPr>
          <m:t>T</m:t>
        </m:r>
        <m:r>
          <m:rPr>
            <m:sty m:val="p"/>
          </m:rPr>
          <w:rPr>
            <w:rFonts w:ascii="Cambria Math" w:hAnsi="Cambria Math"/>
          </w:rPr>
          <m:t>=</m:t>
        </m:r>
        <m:r>
          <w:rPr>
            <w:rFonts w:ascii="Cambria Math" w:hAnsi="Cambria Math"/>
          </w:rPr>
          <m:t>3</m:t>
        </m:r>
      </m:oMath>
      <w:r>
        <w:t>), such that the proportion of variance in the latent construct explained by the growth factors was approximately .45, .62, .74, .82, and .87 across the five waves, exceeding 60% from the second wave onward.</w:t>
      </w:r>
    </w:p>
    <w:p w14:paraId="1B8B1EBE" w14:textId="3E4D3FA7" w:rsidR="00E93E3E" w:rsidRDefault="00000000" w:rsidP="008448A4">
      <w:pPr>
        <w:pStyle w:val="BodyText"/>
        <w:spacing w:before="240" w:after="0" w:line="480" w:lineRule="auto"/>
        <w:ind w:firstLine="720"/>
      </w:pPr>
      <w:r>
        <w:t xml:space="preserve">To remove confounding effects from the size of scale, I used effects-coding (EC) identification for the 2-LGCM to align it with that for sum-score 1-LGCM. Population </w:t>
      </w:r>
      <w:r>
        <w:lastRenderedPageBreak/>
        <w:t>parameters of the data-generating model and the analysis model parameters are presented in Table 1 with analytical derivation via the affine transformation from equations (13) and (14).</w:t>
      </w:r>
      <w:r w:rsidR="008448A4">
        <w:t xml:space="preserve"> </w:t>
      </w:r>
      <w:r>
        <w:t xml:space="preserve">The item intercept was fixed at </w:t>
      </w:r>
      <m:oMath>
        <m:sSub>
          <m:sSubPr>
            <m:ctrlPr>
              <w:rPr>
                <w:rFonts w:ascii="Cambria Math" w:hAnsi="Cambria Math"/>
              </w:rPr>
            </m:ctrlPr>
          </m:sSubPr>
          <m:e>
            <m:r>
              <w:rPr>
                <w:rFonts w:ascii="Cambria Math" w:hAnsi="Cambria Math"/>
              </w:rPr>
              <m:t>τ</m:t>
            </m:r>
          </m:e>
          <m:sub>
            <m:r>
              <w:rPr>
                <w:rFonts w:ascii="Cambria Math" w:hAnsi="Cambria Math"/>
              </w:rPr>
              <m:t>it</m:t>
            </m:r>
          </m:sub>
        </m:sSub>
        <m:r>
          <m:rPr>
            <m:sty m:val="p"/>
          </m:rPr>
          <w:rPr>
            <w:rFonts w:ascii="Cambria Math" w:hAnsi="Cambria Math"/>
          </w:rPr>
          <m:t>=</m:t>
        </m:r>
        <m:r>
          <w:rPr>
            <w:rFonts w:ascii="Cambria Math" w:hAnsi="Cambria Math"/>
          </w:rPr>
          <m:t>.1</m:t>
        </m:r>
      </m:oMath>
      <w:r>
        <w:t xml:space="preserve"> and the unstandardized factor loading at </w:t>
      </w:r>
      <m:oMath>
        <m:sSub>
          <m:sSubPr>
            <m:ctrlPr>
              <w:rPr>
                <w:rFonts w:ascii="Cambria Math" w:hAnsi="Cambria Math"/>
              </w:rPr>
            </m:ctrlPr>
          </m:sSubPr>
          <m:e>
            <m:r>
              <w:rPr>
                <w:rFonts w:ascii="Cambria Math" w:hAnsi="Cambria Math"/>
              </w:rPr>
              <m:t>λ</m:t>
            </m:r>
          </m:e>
          <m:sub>
            <m:r>
              <w:rPr>
                <w:rFonts w:ascii="Cambria Math" w:hAnsi="Cambria Math"/>
              </w:rPr>
              <m:t>it</m:t>
            </m:r>
          </m:sub>
        </m:sSub>
        <m:r>
          <m:rPr>
            <m:sty m:val="p"/>
          </m:rPr>
          <w:rPr>
            <w:rFonts w:ascii="Cambria Math" w:hAnsi="Cambria Math"/>
          </w:rPr>
          <m:t>=</m:t>
        </m:r>
        <m:r>
          <w:rPr>
            <w:rFonts w:ascii="Cambria Math" w:hAnsi="Cambria Math"/>
          </w:rPr>
          <m:t>.2</m:t>
        </m:r>
      </m:oMath>
      <w:r>
        <w:t xml:space="preserve">. We set </w:t>
      </w:r>
      <m:oMath>
        <m:sSub>
          <m:sSubPr>
            <m:ctrlPr>
              <w:rPr>
                <w:rFonts w:ascii="Cambria Math" w:hAnsi="Cambria Math"/>
              </w:rPr>
            </m:ctrlPr>
          </m:sSubPr>
          <m:e>
            <m:r>
              <w:rPr>
                <w:rFonts w:ascii="Cambria Math" w:hAnsi="Cambria Math"/>
              </w:rPr>
              <m:t>λ</m:t>
            </m:r>
          </m:e>
          <m:sub>
            <m:r>
              <w:rPr>
                <w:rFonts w:ascii="Cambria Math" w:hAnsi="Cambria Math"/>
              </w:rPr>
              <m:t>it</m:t>
            </m:r>
          </m:sub>
        </m:sSub>
        <m:r>
          <m:rPr>
            <m:sty m:val="p"/>
          </m:rPr>
          <w:rPr>
            <w:rFonts w:ascii="Cambria Math" w:hAnsi="Cambria Math"/>
          </w:rPr>
          <m:t>=</m:t>
        </m:r>
        <m:r>
          <w:rPr>
            <w:rFonts w:ascii="Cambria Math" w:hAnsi="Cambria Math"/>
          </w:rPr>
          <m:t>.2</m:t>
        </m:r>
      </m:oMath>
      <w:r>
        <w:t xml:space="preserve"> so that the within-wave loadings sum to 1 when </w:t>
      </w:r>
      <m:oMath>
        <m:r>
          <w:rPr>
            <w:rFonts w:ascii="Cambria Math" w:hAnsi="Cambria Math"/>
          </w:rPr>
          <m:t>I</m:t>
        </m:r>
        <m:r>
          <m:rPr>
            <m:sty m:val="p"/>
          </m:rPr>
          <w:rPr>
            <w:rFonts w:ascii="Cambria Math" w:hAnsi="Cambria Math"/>
          </w:rPr>
          <m:t>=</m:t>
        </m:r>
        <m:r>
          <w:rPr>
            <w:rFonts w:ascii="Cambria Math" w:hAnsi="Cambria Math"/>
          </w:rPr>
          <m:t>5</m:t>
        </m:r>
      </m:oMath>
      <w:r>
        <w:t xml:space="preserve">. At this value the generating and EC-fitted growth covariances are numerically identical (Table 1). When </w:t>
      </w:r>
      <m:oMath>
        <m:r>
          <w:rPr>
            <w:rFonts w:ascii="Cambria Math" w:hAnsi="Cambria Math"/>
          </w:rPr>
          <m:t>I</m:t>
        </m:r>
        <m:r>
          <m:rPr>
            <m:sty m:val="p"/>
          </m:rPr>
          <w:rPr>
            <w:rFonts w:ascii="Cambria Math" w:hAnsi="Cambria Math"/>
          </w:rPr>
          <m:t>=</m:t>
        </m:r>
        <m:r>
          <w:rPr>
            <w:rFonts w:ascii="Cambria Math" w:hAnsi="Cambria Math"/>
          </w:rPr>
          <m:t>3</m:t>
        </m:r>
      </m:oMath>
      <w:r>
        <w:t>, the loadings sum to .6 and the EC-rescaled parameters take different values. This study assumes complete data without any missingness.</w:t>
      </w:r>
    </w:p>
    <w:p w14:paraId="43271127" w14:textId="77777777" w:rsidR="00E93E3E" w:rsidRPr="008448A4" w:rsidRDefault="00000000" w:rsidP="008448A4">
      <w:pPr>
        <w:pStyle w:val="Heading2"/>
        <w:spacing w:before="360" w:after="58" w:line="360" w:lineRule="auto"/>
        <w:ind w:right="562"/>
        <w:rPr>
          <w:b/>
          <w:bCs/>
        </w:rPr>
      </w:pPr>
      <w:bookmarkStart w:id="12" w:name="simulation-conditions"/>
      <w:bookmarkEnd w:id="11"/>
      <w:r w:rsidRPr="008448A4">
        <w:rPr>
          <w:b/>
          <w:bCs/>
        </w:rPr>
        <w:t>4.2 Simulation Conditions</w:t>
      </w:r>
    </w:p>
    <w:p w14:paraId="4CC9CC80" w14:textId="77777777" w:rsidR="00E93E3E" w:rsidRDefault="00000000" w:rsidP="00BD26F1">
      <w:pPr>
        <w:pStyle w:val="FirstParagraph"/>
        <w:spacing w:before="240" w:after="0" w:line="480" w:lineRule="auto"/>
      </w:pPr>
      <w:r>
        <w:rPr>
          <w:i/>
          <w:iCs/>
        </w:rPr>
        <w:t>Correlated uniqueness</w:t>
      </w:r>
      <w:r>
        <w:t xml:space="preserve"> (</w:t>
      </w:r>
      <m:oMath>
        <m:r>
          <w:rPr>
            <w:rFonts w:ascii="Cambria Math" w:hAnsi="Cambria Math"/>
          </w:rPr>
          <m:t>ρ</m:t>
        </m:r>
      </m:oMath>
      <w:r>
        <w:t xml:space="preserve">). The CU structure for each indicator was modeled as a lag-1 CU pattern, in which only the residuals of adjacent time points were correlated at </w:t>
      </w:r>
      <m:oMath>
        <m:r>
          <w:rPr>
            <w:rFonts w:ascii="Cambria Math" w:hAnsi="Cambria Math"/>
          </w:rPr>
          <m:t>ρ</m:t>
        </m:r>
      </m:oMath>
      <w:r>
        <w:t xml:space="preserve">, while all longer-lag residual correlations were fixed to zero. Two levels were used in the data-generating model: </w:t>
      </w:r>
      <m:oMath>
        <m:r>
          <w:rPr>
            <w:rFonts w:ascii="Cambria Math" w:hAnsi="Cambria Math"/>
          </w:rPr>
          <m:t>ρ</m:t>
        </m:r>
        <m:r>
          <m:rPr>
            <m:sty m:val="p"/>
          </m:rPr>
          <w:rPr>
            <w:rFonts w:ascii="Cambria Math" w:hAnsi="Cambria Math"/>
          </w:rPr>
          <m:t>=</m:t>
        </m:r>
        <m:r>
          <w:rPr>
            <w:rFonts w:ascii="Cambria Math" w:hAnsi="Cambria Math"/>
          </w:rPr>
          <m:t>0</m:t>
        </m:r>
      </m:oMath>
      <w:r>
        <w:t xml:space="preserve"> (no CU) and </w:t>
      </w:r>
      <m:oMath>
        <m:r>
          <w:rPr>
            <w:rFonts w:ascii="Cambria Math" w:hAnsi="Cambria Math"/>
          </w:rPr>
          <m:t>ρ</m:t>
        </m:r>
        <m:r>
          <m:rPr>
            <m:sty m:val="p"/>
          </m:rPr>
          <w:rPr>
            <w:rFonts w:ascii="Cambria Math" w:hAnsi="Cambria Math"/>
          </w:rPr>
          <m:t>=</m:t>
        </m:r>
        <m:r>
          <w:rPr>
            <w:rFonts w:ascii="Cambria Math" w:hAnsi="Cambria Math"/>
          </w:rPr>
          <m:t>.15</m:t>
        </m:r>
      </m:oMath>
      <w:r>
        <w:t xml:space="preserve"> (small-to-moderate CU). For each level of generated data, the analysis model either specified the CU component or did not. Crossing these two factors yields four CU specifications: no CU not modeled, CU correctly modeled, CU ignored, and CU overfitted.</w:t>
      </w:r>
    </w:p>
    <w:p w14:paraId="74B72157" w14:textId="77777777" w:rsidR="00E93E3E" w:rsidRDefault="00000000" w:rsidP="00BD26F1">
      <w:pPr>
        <w:pStyle w:val="BodyText"/>
        <w:spacing w:before="240" w:after="0" w:line="480" w:lineRule="auto"/>
      </w:pPr>
      <w:r>
        <w:rPr>
          <w:i/>
          <w:iCs/>
        </w:rPr>
        <w:t>Measurement quality</w:t>
      </w:r>
      <w:r>
        <w:t>. To manipulate measurement quality, the residual variance of each indicator was calibrated to yield two levels of standardized factor loadings: poor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.16</m:t>
        </m:r>
      </m:oMath>
      <w:r>
        <w:t>, target standardized loading = .4) and good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.45</m:t>
        </m:r>
      </m:oMath>
      <w:r>
        <w:t xml:space="preserve">, target standardized loading = .671). Given the unstandardized loading and the latent construct variance determined by the growth parameters and disturbance variances, the residual variance was set such that the indicator reliability matched the target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at each wave.</w:t>
      </w:r>
    </w:p>
    <w:p w14:paraId="3086F474" w14:textId="77777777" w:rsidR="00E93E3E" w:rsidRDefault="00000000" w:rsidP="00BD26F1">
      <w:pPr>
        <w:pStyle w:val="BodyText"/>
        <w:spacing w:before="240" w:after="0" w:line="480" w:lineRule="auto"/>
      </w:pPr>
      <w:r>
        <w:rPr>
          <w:i/>
          <w:iCs/>
        </w:rPr>
        <w:lastRenderedPageBreak/>
        <w:t>Number of time points</w:t>
      </w:r>
      <w:r>
        <w:t xml:space="preserve"> (</w:t>
      </w:r>
      <m:oMath>
        <m:r>
          <w:rPr>
            <w:rFonts w:ascii="Cambria Math" w:hAnsi="Cambria Math"/>
          </w:rPr>
          <m:t>T</m:t>
        </m:r>
      </m:oMath>
      <w:r>
        <w:t xml:space="preserve">). To assess whether the comparison generalizes across different numbers of waves, the number of measurement occasions was set to </w:t>
      </w:r>
      <m:oMath>
        <m:r>
          <w:rPr>
            <w:rFonts w:ascii="Cambria Math" w:hAnsi="Cambria Math"/>
          </w:rPr>
          <m:t>T</m:t>
        </m:r>
        <m:r>
          <m:rPr>
            <m:sty m:val="p"/>
          </m:rPr>
          <w:rPr>
            <w:rFonts w:ascii="Cambria Math" w:hAnsi="Cambria Math"/>
          </w:rPr>
          <m:t>=</m:t>
        </m:r>
        <m:r>
          <w:rPr>
            <w:rFonts w:ascii="Cambria Math" w:hAnsi="Cambria Math"/>
          </w:rPr>
          <m:t>3</m:t>
        </m:r>
      </m:oMath>
      <w:r>
        <w:t xml:space="preserve"> and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T</m:t>
        </m:r>
        <m:r>
          <m:rPr>
            <m:sty m:val="p"/>
          </m:rPr>
          <w:rPr>
            <w:rFonts w:ascii="Cambria Math" w:hAnsi="Cambria Math"/>
          </w:rPr>
          <m:t>=</m:t>
        </m:r>
        <m:r>
          <w:rPr>
            <w:rFonts w:ascii="Cambria Math" w:hAnsi="Cambria Math"/>
          </w:rPr>
          <m:t>3</m:t>
        </m:r>
      </m:oMath>
      <w:r>
        <w:t xml:space="preserve"> represents the minimum number of time points required for the LGCM. In practice, researchers are often unable to collect more than the minimum of three waves, and at this length the CU parameters in the analysis model cannot be freely estimated because of under-identification. For this reason, only two of the four CU specifications were applied at </w:t>
      </w:r>
      <m:oMath>
        <m:r>
          <w:rPr>
            <w:rFonts w:ascii="Cambria Math" w:hAnsi="Cambria Math"/>
          </w:rPr>
          <m:t>T</m:t>
        </m:r>
        <m:r>
          <m:rPr>
            <m:sty m:val="p"/>
          </m:rPr>
          <w:rPr>
            <w:rFonts w:ascii="Cambria Math" w:hAnsi="Cambria Math"/>
          </w:rPr>
          <m:t>=</m:t>
        </m:r>
        <m:r>
          <w:rPr>
            <w:rFonts w:ascii="Cambria Math" w:hAnsi="Cambria Math"/>
          </w:rPr>
          <m:t>3</m:t>
        </m:r>
      </m:oMath>
      <w:r>
        <w:t xml:space="preserve">: no CU not modeled, and CU ignored (CU present in the generating model but not specified in the analysis model). At </w:t>
      </w:r>
      <m:oMath>
        <m:r>
          <w:rPr>
            <w:rFonts w:ascii="Cambria Math" w:hAnsi="Cambria Math"/>
          </w:rPr>
          <m:t>T</m:t>
        </m:r>
        <m:r>
          <m:rPr>
            <m:sty m:val="p"/>
          </m:rPr>
          <w:rPr>
            <w:rFonts w:ascii="Cambria Math" w:hAnsi="Cambria Math"/>
          </w:rPr>
          <m:t>=</m:t>
        </m:r>
        <m:r>
          <w:rPr>
            <w:rFonts w:ascii="Cambria Math" w:hAnsi="Cambria Math"/>
          </w:rPr>
          <m:t>5</m:t>
        </m:r>
      </m:oMath>
      <w:r>
        <w:t>, all four CU specifications were included.</w:t>
      </w:r>
    </w:p>
    <w:p w14:paraId="445CC48E" w14:textId="77777777" w:rsidR="00E93E3E" w:rsidRDefault="00000000" w:rsidP="00BD26F1">
      <w:pPr>
        <w:pStyle w:val="BodyText"/>
        <w:spacing w:before="240" w:after="0" w:line="480" w:lineRule="auto"/>
      </w:pPr>
      <w:r>
        <w:rPr>
          <w:i/>
          <w:iCs/>
        </w:rPr>
        <w:t>Number of indicators per time point</w:t>
      </w:r>
      <w:r>
        <w:t xml:space="preserve"> (</w:t>
      </w:r>
      <m:oMath>
        <m:r>
          <w:rPr>
            <w:rFonts w:ascii="Cambria Math" w:hAnsi="Cambria Math"/>
          </w:rPr>
          <m:t>I</m:t>
        </m:r>
      </m:oMath>
      <w:r>
        <w:t xml:space="preserve">). The number of indicators measured at each time point was set to either </w:t>
      </w:r>
      <m:oMath>
        <m:r>
          <w:rPr>
            <w:rFonts w:ascii="Cambria Math" w:hAnsi="Cambria Math"/>
          </w:rPr>
          <m:t>I</m:t>
        </m:r>
        <m:r>
          <m:rPr>
            <m:sty m:val="p"/>
          </m:rPr>
          <w:rPr>
            <w:rFonts w:ascii="Cambria Math" w:hAnsi="Cambria Math"/>
          </w:rPr>
          <m:t>=</m:t>
        </m:r>
        <m:r>
          <w:rPr>
            <w:rFonts w:ascii="Cambria Math" w:hAnsi="Cambria Math"/>
          </w:rPr>
          <m:t>3</m:t>
        </m:r>
      </m:oMath>
      <w:r>
        <w:t xml:space="preserve">, a small but realistic number of indicators, or </w:t>
      </w:r>
      <m:oMath>
        <m:r>
          <w:rPr>
            <w:rFonts w:ascii="Cambria Math" w:hAnsi="Cambria Math"/>
          </w:rPr>
          <m:t>I</m:t>
        </m:r>
        <m:r>
          <m:rPr>
            <m:sty m:val="p"/>
          </m:rPr>
          <w:rPr>
            <w:rFonts w:ascii="Cambria Math" w:hAnsi="Cambria Math"/>
          </w:rPr>
          <m:t>=</m:t>
        </m:r>
        <m:r>
          <w:rPr>
            <w:rFonts w:ascii="Cambria Math" w:hAnsi="Cambria Math"/>
          </w:rPr>
          <m:t>5</m:t>
        </m:r>
      </m:oMath>
      <w:r>
        <w:t>, included to examine whether more indicators have any buffering effect on the recovery of growth parameters.</w:t>
      </w:r>
    </w:p>
    <w:p w14:paraId="59535A4D" w14:textId="1AADC237" w:rsidR="00037AF0" w:rsidRDefault="00000000" w:rsidP="00BD26F1">
      <w:pPr>
        <w:pStyle w:val="BodyText"/>
        <w:spacing w:before="240" w:after="0" w:line="480" w:lineRule="auto"/>
      </w:pPr>
      <w:r>
        <w:rPr>
          <w:i/>
          <w:iCs/>
        </w:rPr>
        <w:t>Sample size</w:t>
      </w:r>
      <w:r>
        <w:t xml:space="preserve"> (</w:t>
      </w:r>
      <m:oMath>
        <m:r>
          <w:rPr>
            <w:rFonts w:ascii="Cambria Math" w:hAnsi="Cambria Math"/>
          </w:rPr>
          <m:t>N</m:t>
        </m:r>
      </m:oMath>
      <w:r>
        <w:t>). Sample sizes were set to 200, 500,</w:t>
      </w:r>
      <w:r w:rsidR="00CC6E73">
        <w:t xml:space="preserve"> </w:t>
      </w:r>
      <w:r w:rsidR="005534A6">
        <w:t xml:space="preserve">and </w:t>
      </w:r>
      <w:r>
        <w:t>800</w:t>
      </w:r>
      <w:r w:rsidR="00037AF0">
        <w:t>.</w:t>
      </w:r>
      <w:r w:rsidR="001C0868">
        <w:t xml:space="preserve"> </w:t>
      </w:r>
      <w:r w:rsidR="00037AF0">
        <w:t xml:space="preserve">The </w:t>
      </w:r>
      <w:r w:rsidR="00CC6E73">
        <w:t xml:space="preserve">three sizes </w:t>
      </w:r>
      <w:r w:rsidR="00037AF0">
        <w:t>span small to commonly adequate sizes in latent growth models</w:t>
      </w:r>
      <w:r>
        <w:t>.</w:t>
      </w:r>
      <w:r w:rsidR="00037AF0">
        <w:t xml:space="preserve"> </w:t>
      </w:r>
    </w:p>
    <w:p w14:paraId="6EB653F6" w14:textId="1D3752AB" w:rsidR="00E93E3E" w:rsidRDefault="00000000" w:rsidP="008448A4">
      <w:pPr>
        <w:pStyle w:val="BodyText"/>
        <w:spacing w:before="240" w:after="0" w:line="480" w:lineRule="auto"/>
        <w:ind w:firstLine="720"/>
      </w:pPr>
      <w:r>
        <w:t xml:space="preserve">In total, the design consisted of </w:t>
      </w:r>
      <w:r w:rsidR="008448A4">
        <w:t>144</w:t>
      </w:r>
      <w:r>
        <w:t xml:space="preserve"> simulation conditions, partitioned into two design blocks defined by the number of waves. At </w:t>
      </w:r>
      <m:oMath>
        <m:r>
          <w:rPr>
            <w:rFonts w:ascii="Cambria Math" w:hAnsi="Cambria Math"/>
          </w:rPr>
          <m:t>T</m:t>
        </m:r>
        <m:r>
          <m:rPr>
            <m:sty m:val="p"/>
          </m:rPr>
          <w:rPr>
            <w:rFonts w:ascii="Cambria Math" w:hAnsi="Cambria Math"/>
          </w:rPr>
          <m:t>=</m:t>
        </m:r>
        <m:r>
          <w:rPr>
            <w:rFonts w:ascii="Cambria Math" w:hAnsi="Cambria Math"/>
          </w:rPr>
          <m:t>5</m:t>
        </m:r>
      </m:oMath>
      <w:r>
        <w:t xml:space="preserve">, the full crossing yielded </w:t>
      </w:r>
      <w:r w:rsidR="008448A4">
        <w:t>96</w:t>
      </w:r>
      <w:r>
        <w:t xml:space="preserve"> = </w:t>
      </w:r>
      <w:r w:rsidR="008448A4">
        <w:t>3</w:t>
      </w:r>
      <w:r>
        <w:t xml:space="preserve"> (</w:t>
      </w:r>
      <m:oMath>
        <m:r>
          <w:rPr>
            <w:rFonts w:ascii="Cambria Math" w:hAnsi="Cambria Math"/>
          </w:rPr>
          <m:t>N</m:t>
        </m:r>
      </m:oMath>
      <w:r>
        <w:t xml:space="preserve">) </w:t>
      </w:r>
      <m:oMath>
        <m:r>
          <m:rPr>
            <m:sty m:val="p"/>
          </m:rPr>
          <w:rPr>
            <w:rFonts w:ascii="Cambria Math" w:hAnsi="Cambria Math"/>
          </w:rPr>
          <m:t>×</m:t>
        </m:r>
      </m:oMath>
      <w:r>
        <w:t xml:space="preserve"> 2 (</w:t>
      </w:r>
      <m:oMath>
        <m:r>
          <w:rPr>
            <w:rFonts w:ascii="Cambria Math" w:hAnsi="Cambria Math"/>
          </w:rPr>
          <m:t>I</m:t>
        </m:r>
      </m:oMath>
      <w:r>
        <w:t xml:space="preserve">) </w:t>
      </w:r>
      <m:oMath>
        <m:r>
          <m:rPr>
            <m:sty m:val="p"/>
          </m:rPr>
          <w:rPr>
            <w:rFonts w:ascii="Cambria Math" w:hAnsi="Cambria Math"/>
          </w:rPr>
          <m:t>×</m:t>
        </m:r>
      </m:oMath>
      <w:r>
        <w:t xml:space="preserve"> 2 (measurement quality) </w:t>
      </w:r>
      <m:oMath>
        <m:r>
          <m:rPr>
            <m:sty m:val="p"/>
          </m:rPr>
          <w:rPr>
            <w:rFonts w:ascii="Cambria Math" w:hAnsi="Cambria Math"/>
          </w:rPr>
          <m:t>×</m:t>
        </m:r>
      </m:oMath>
      <w:r>
        <w:t xml:space="preserve"> 4 (CU specification) </w:t>
      </w:r>
      <m:oMath>
        <m:r>
          <m:rPr>
            <m:sty m:val="p"/>
          </m:rPr>
          <w:rPr>
            <w:rFonts w:ascii="Cambria Math" w:hAnsi="Cambria Math"/>
          </w:rPr>
          <m:t>×</m:t>
        </m:r>
      </m:oMath>
      <w:r>
        <w:t xml:space="preserve"> 2 (models) conditions. At </w:t>
      </w:r>
      <m:oMath>
        <m:r>
          <w:rPr>
            <w:rFonts w:ascii="Cambria Math" w:hAnsi="Cambria Math"/>
          </w:rPr>
          <m:t>T</m:t>
        </m:r>
        <m:r>
          <m:rPr>
            <m:sty m:val="p"/>
          </m:rPr>
          <w:rPr>
            <w:rFonts w:ascii="Cambria Math" w:hAnsi="Cambria Math"/>
          </w:rPr>
          <m:t>=</m:t>
        </m:r>
        <m:r>
          <w:rPr>
            <w:rFonts w:ascii="Cambria Math" w:hAnsi="Cambria Math"/>
          </w:rPr>
          <m:t>3</m:t>
        </m:r>
      </m:oMath>
      <w:r>
        <w:t xml:space="preserve">, the reduced crossing yielded </w:t>
      </w:r>
      <w:r w:rsidR="008448A4">
        <w:t>48</w:t>
      </w:r>
      <w:r>
        <w:t xml:space="preserve"> = </w:t>
      </w:r>
      <w:r w:rsidR="008448A4">
        <w:t>3</w:t>
      </w:r>
      <w:r>
        <w:t xml:space="preserve"> (</w:t>
      </w:r>
      <m:oMath>
        <m:r>
          <w:rPr>
            <w:rFonts w:ascii="Cambria Math" w:hAnsi="Cambria Math"/>
          </w:rPr>
          <m:t>N</m:t>
        </m:r>
      </m:oMath>
      <w:r>
        <w:t xml:space="preserve">) </w:t>
      </w:r>
      <m:oMath>
        <m:r>
          <m:rPr>
            <m:sty m:val="p"/>
          </m:rPr>
          <w:rPr>
            <w:rFonts w:ascii="Cambria Math" w:hAnsi="Cambria Math"/>
          </w:rPr>
          <m:t>×</m:t>
        </m:r>
      </m:oMath>
      <w:r>
        <w:t xml:space="preserve"> 2 (</w:t>
      </w:r>
      <m:oMath>
        <m:r>
          <w:rPr>
            <w:rFonts w:ascii="Cambria Math" w:hAnsi="Cambria Math"/>
          </w:rPr>
          <m:t>I</m:t>
        </m:r>
      </m:oMath>
      <w:r>
        <w:t xml:space="preserve">) </w:t>
      </w:r>
      <m:oMath>
        <m:r>
          <m:rPr>
            <m:sty m:val="p"/>
          </m:rPr>
          <w:rPr>
            <w:rFonts w:ascii="Cambria Math" w:hAnsi="Cambria Math"/>
          </w:rPr>
          <m:t>×</m:t>
        </m:r>
      </m:oMath>
      <w:r>
        <w:t xml:space="preserve"> 2 (measurement quality) </w:t>
      </w:r>
      <m:oMath>
        <m:r>
          <m:rPr>
            <m:sty m:val="p"/>
          </m:rPr>
          <w:rPr>
            <w:rFonts w:ascii="Cambria Math" w:hAnsi="Cambria Math"/>
          </w:rPr>
          <m:t>×</m:t>
        </m:r>
      </m:oMath>
      <w:r>
        <w:t xml:space="preserve"> 2 (CU specification) </w:t>
      </w:r>
      <m:oMath>
        <m:r>
          <m:rPr>
            <m:sty m:val="p"/>
          </m:rPr>
          <w:rPr>
            <w:rFonts w:ascii="Cambria Math" w:hAnsi="Cambria Math"/>
          </w:rPr>
          <m:t>×</m:t>
        </m:r>
      </m:oMath>
      <w:r>
        <w:t xml:space="preserve"> 2 (models) conditions. For each condition, 2,000 replications were generated.</w:t>
      </w:r>
    </w:p>
    <w:p w14:paraId="63C0094A" w14:textId="77777777" w:rsidR="00E93E3E" w:rsidRPr="003F757F" w:rsidRDefault="00000000" w:rsidP="003F757F">
      <w:pPr>
        <w:pStyle w:val="Heading2"/>
        <w:spacing w:before="360" w:after="58" w:line="360" w:lineRule="auto"/>
        <w:ind w:right="562"/>
        <w:rPr>
          <w:b/>
          <w:bCs/>
        </w:rPr>
      </w:pPr>
      <w:bookmarkStart w:id="13" w:name="outcome-measures"/>
      <w:bookmarkEnd w:id="12"/>
      <w:r w:rsidRPr="003F757F">
        <w:rPr>
          <w:b/>
          <w:bCs/>
        </w:rPr>
        <w:lastRenderedPageBreak/>
        <w:t>4.3 Outcome Measures</w:t>
      </w:r>
    </w:p>
    <w:p w14:paraId="59313E90" w14:textId="77777777" w:rsidR="00E93E3E" w:rsidRDefault="00000000" w:rsidP="00BD26F1">
      <w:pPr>
        <w:pStyle w:val="FirstParagraph"/>
        <w:spacing w:before="240" w:after="0" w:line="480" w:lineRule="auto"/>
      </w:pPr>
      <w:r>
        <w:t>Parameter estimation accuracy was evaluated with relative bias (RB) and relative root mean square error (</w:t>
      </w:r>
      <w:proofErr w:type="gramStart"/>
      <w:r>
        <w:t>R.RMSE</w:t>
      </w:r>
      <w:proofErr w:type="gramEnd"/>
      <w:r>
        <w:t xml:space="preserve">). RB was computed as the average relative difference between the estimate and the population value across replications. Estimates with RB within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.10</m:t>
            </m:r>
          </m:e>
        </m:d>
      </m:oMath>
      <w:r>
        <w:t xml:space="preserve"> were considered relatively accurate (Muthén &amp; Muthén, 2002). R.RMSE, which reflects both precision and bias scaled by the absolute true value, was computed as . Additionally, coverage was the proportion of replications in which the nominal 95% confidence interval contained the true value. Statistical power was defined as the rejection rate for the growth parameters, computed within each condition as the proportion of admissible replications. Finally, I compared the proportion of admissible solutions across the four CU specifications, defined as replications that converged without negative variance estimates or standardized correlations exceeding 1 in absolute value.</w:t>
      </w:r>
    </w:p>
    <w:p w14:paraId="31869B9C" w14:textId="0DDBC279" w:rsidR="00CE22FB" w:rsidRDefault="00103D0C" w:rsidP="009A22CF">
      <w:pPr>
        <w:spacing w:before="360" w:after="58" w:line="360" w:lineRule="auto"/>
        <w:ind w:right="562"/>
        <w:rPr>
          <w:b/>
          <w:bCs/>
        </w:rPr>
      </w:pPr>
      <w:r>
        <w:rPr>
          <w:b/>
          <w:bCs/>
        </w:rPr>
        <w:t xml:space="preserve">5 </w:t>
      </w:r>
      <w:r w:rsidR="00CE22FB" w:rsidRPr="009A22CF">
        <w:rPr>
          <w:b/>
          <w:bCs/>
        </w:rPr>
        <w:t>Results</w:t>
      </w:r>
    </w:p>
    <w:p w14:paraId="45396119" w14:textId="1F687C22" w:rsidR="00F55B26" w:rsidRDefault="00F55B26" w:rsidP="00A92D10">
      <w:pPr>
        <w:spacing w:before="240" w:line="480" w:lineRule="auto"/>
        <w:rPr>
          <w:lang w:eastAsia="ko-KR"/>
        </w:rPr>
      </w:pPr>
      <w:r>
        <w:rPr>
          <w:lang w:eastAsia="ko-KR"/>
        </w:rPr>
        <w:t xml:space="preserve">Firstly, </w:t>
      </w:r>
      <w:r w:rsidR="00842FFA">
        <w:rPr>
          <w:lang w:eastAsia="ko-KR"/>
        </w:rPr>
        <w:t>f</w:t>
      </w:r>
      <w:r w:rsidR="00842FFA" w:rsidRPr="00842FFA">
        <w:rPr>
          <w:lang w:eastAsia="ko-KR"/>
        </w:rPr>
        <w:t xml:space="preserve">igure </w:t>
      </w:r>
      <w:r w:rsidR="00842FFA">
        <w:rPr>
          <w:lang w:eastAsia="ko-KR"/>
        </w:rPr>
        <w:t>2</w:t>
      </w:r>
      <w:r w:rsidR="00842FFA" w:rsidRPr="00842FFA">
        <w:rPr>
          <w:lang w:eastAsia="ko-KR"/>
        </w:rPr>
        <w:t xml:space="preserve"> reports admissible solution rates. Under correct </w:t>
      </w:r>
      <w:r w:rsidR="00842FFA">
        <w:rPr>
          <w:lang w:eastAsia="ko-KR"/>
        </w:rPr>
        <w:t xml:space="preserve">model </w:t>
      </w:r>
      <w:r w:rsidR="00842FFA" w:rsidRPr="00842FFA">
        <w:rPr>
          <w:lang w:eastAsia="ko-KR"/>
        </w:rPr>
        <w:t>specification</w:t>
      </w:r>
      <w:r w:rsidR="008967F4">
        <w:rPr>
          <w:lang w:eastAsia="ko-KR"/>
        </w:rPr>
        <w:t xml:space="preserve"> without CU</w:t>
      </w:r>
      <w:r w:rsidR="00842FFA" w:rsidRPr="00842FFA">
        <w:rPr>
          <w:lang w:eastAsia="ko-KR"/>
        </w:rPr>
        <w:t xml:space="preserve">, admissibility rose with </w:t>
      </w:r>
      <w:r w:rsidR="00842FFA">
        <w:rPr>
          <w:lang w:eastAsia="ko-KR"/>
        </w:rPr>
        <w:t xml:space="preserve">larger </w:t>
      </w:r>
      <w:r w:rsidR="00842FFA" w:rsidRPr="00842FFA">
        <w:rPr>
          <w:lang w:eastAsia="ko-KR"/>
        </w:rPr>
        <w:t>N for both models</w:t>
      </w:r>
      <w:r w:rsidR="008967F4">
        <w:rPr>
          <w:lang w:eastAsia="ko-KR"/>
        </w:rPr>
        <w:t xml:space="preserve"> with better rates among sum-score 1-LGCM</w:t>
      </w:r>
      <w:r w:rsidR="00842FFA" w:rsidRPr="00842FFA">
        <w:rPr>
          <w:lang w:eastAsia="ko-KR"/>
        </w:rPr>
        <w:t xml:space="preserve">. Once CU was present </w:t>
      </w:r>
      <w:r w:rsidR="00842FFA">
        <w:rPr>
          <w:lang w:eastAsia="ko-KR"/>
        </w:rPr>
        <w:t xml:space="preserve">in data generation </w:t>
      </w:r>
      <w:r w:rsidR="00842FFA" w:rsidRPr="00842FFA">
        <w:rPr>
          <w:lang w:eastAsia="ko-KR"/>
        </w:rPr>
        <w:t>but ignored</w:t>
      </w:r>
      <w:r w:rsidR="00842FFA">
        <w:rPr>
          <w:lang w:eastAsia="ko-KR"/>
        </w:rPr>
        <w:t xml:space="preserve"> in analysis model</w:t>
      </w:r>
      <w:r w:rsidR="00842FFA" w:rsidRPr="00842FFA">
        <w:rPr>
          <w:lang w:eastAsia="ko-KR"/>
        </w:rPr>
        <w:t xml:space="preserve">, the sum-score 1-LGCM </w:t>
      </w:r>
      <w:r w:rsidR="008967F4">
        <w:rPr>
          <w:lang w:eastAsia="ko-KR"/>
        </w:rPr>
        <w:t>showed even higher rates</w:t>
      </w:r>
      <w:r w:rsidR="00842FFA" w:rsidRPr="00842FFA">
        <w:rPr>
          <w:lang w:eastAsia="ko-KR"/>
        </w:rPr>
        <w:t xml:space="preserve"> (above .90 throughout). The EC 2-LGCM held up except when measurement was weak: in the most constrained cell (</w:t>
      </w:r>
      <m:oMath>
        <m:r>
          <w:rPr>
            <w:rFonts w:ascii="Cambria Math" w:hAnsi="Cambria Math"/>
          </w:rPr>
          <m:t>T</m:t>
        </m:r>
      </m:oMath>
      <w:r w:rsidR="00842FFA" w:rsidRPr="00842FFA">
        <w:rPr>
          <w:lang w:eastAsia="ko-KR"/>
        </w:rPr>
        <w:t xml:space="preserve"> = 3, </w:t>
      </w:r>
      <m:oMath>
        <m:r>
          <w:rPr>
            <w:rFonts w:ascii="Cambria Math" w:hAnsi="Cambria Math"/>
          </w:rPr>
          <m:t>J</m:t>
        </m:r>
      </m:oMath>
      <w:r w:rsidR="00842FFA" w:rsidRPr="00842FFA">
        <w:rPr>
          <w:lang w:eastAsia="ko-KR"/>
        </w:rPr>
        <w:t xml:space="preserve"> = 3, low </w:t>
      </w:r>
      <w:r w:rsidR="00842FFA">
        <w:rPr>
          <w:lang w:eastAsia="ko-KR"/>
        </w:rPr>
        <w:t>measurement quality</w:t>
      </w:r>
      <w:r w:rsidR="00842FFA" w:rsidRPr="00842FFA">
        <w:rPr>
          <w:lang w:eastAsia="ko-KR"/>
        </w:rPr>
        <w:t>), admissibility stayed near .20 and did not improve with</w:t>
      </w:r>
      <w:r w:rsidR="00842FFA">
        <w:rPr>
          <w:lang w:eastAsia="ko-KR"/>
        </w:rPr>
        <w:t xml:space="preserve"> larger</w:t>
      </w:r>
      <w:r w:rsidR="00842FFA" w:rsidRPr="00842FFA">
        <w:rPr>
          <w:lang w:eastAsia="ko-KR"/>
        </w:rPr>
        <w:t xml:space="preserve"> N. Relaxing any one of the</w:t>
      </w:r>
      <w:r w:rsidR="00B26F62">
        <w:rPr>
          <w:lang w:eastAsia="ko-KR"/>
        </w:rPr>
        <w:t xml:space="preserve">se </w:t>
      </w:r>
      <w:r w:rsidR="00842FFA" w:rsidRPr="00842FFA">
        <w:rPr>
          <w:lang w:eastAsia="ko-KR"/>
        </w:rPr>
        <w:t xml:space="preserve">constraints restored the increasing pattern. </w:t>
      </w:r>
      <w:r w:rsidR="008967F4">
        <w:t xml:space="preserve">When CU was instead specified, either correctly modeled or overfit, </w:t>
      </w:r>
      <w:r w:rsidR="008967F4">
        <w:t xml:space="preserve">the </w:t>
      </w:r>
      <w:r w:rsidR="008967F4">
        <w:t xml:space="preserve">EC 2-LGCM reached admissible solutions as </w:t>
      </w:r>
      <w:r w:rsidR="008967F4">
        <w:t>much</w:t>
      </w:r>
      <w:r w:rsidR="008967F4">
        <w:t xml:space="preserve"> as the sum-score model, and more often once N reached 500 or reliability was high, in most </w:t>
      </w:r>
      <m:oMath>
        <m:r>
          <w:rPr>
            <w:rFonts w:ascii="Cambria Math" w:hAnsi="Cambria Math"/>
          </w:rPr>
          <m:t>T</m:t>
        </m:r>
      </m:oMath>
      <w:r w:rsidR="008967F4">
        <w:t xml:space="preserve"> = 5 cells. </w:t>
      </w:r>
      <w:r w:rsidR="008967F4">
        <w:rPr>
          <w:lang w:eastAsia="ko-KR"/>
        </w:rPr>
        <w:t>Thus, t</w:t>
      </w:r>
      <w:r w:rsidR="00842FFA" w:rsidRPr="00842FFA">
        <w:rPr>
          <w:lang w:eastAsia="ko-KR"/>
        </w:rPr>
        <w:t xml:space="preserve">he breakdown </w:t>
      </w:r>
      <w:r w:rsidR="008967F4">
        <w:rPr>
          <w:lang w:eastAsia="ko-KR"/>
        </w:rPr>
        <w:t xml:space="preserve">in admissible solution rates </w:t>
      </w:r>
      <w:r w:rsidR="00842FFA" w:rsidRPr="00842FFA">
        <w:rPr>
          <w:lang w:eastAsia="ko-KR"/>
        </w:rPr>
        <w:t xml:space="preserve">is specific </w:t>
      </w:r>
      <w:r w:rsidR="00842FFA" w:rsidRPr="00842FFA">
        <w:rPr>
          <w:lang w:eastAsia="ko-KR"/>
        </w:rPr>
        <w:lastRenderedPageBreak/>
        <w:t xml:space="preserve">to few waves, few indicators, and low </w:t>
      </w:r>
      <w:r w:rsidR="00842FFA">
        <w:rPr>
          <w:lang w:eastAsia="ko-KR"/>
        </w:rPr>
        <w:t>measurement quality</w:t>
      </w:r>
      <w:r w:rsidR="00842FFA" w:rsidRPr="00842FFA">
        <w:rPr>
          <w:lang w:eastAsia="ko-KR"/>
        </w:rPr>
        <w:t xml:space="preserve"> together, and only for the latent-variable </w:t>
      </w:r>
      <w:r w:rsidR="008967F4">
        <w:rPr>
          <w:lang w:eastAsia="ko-KR"/>
        </w:rPr>
        <w:t>2-LGCM</w:t>
      </w:r>
      <w:r w:rsidR="00842FFA" w:rsidRPr="00842FFA">
        <w:rPr>
          <w:lang w:eastAsia="ko-KR"/>
        </w:rPr>
        <w:t>.</w:t>
      </w:r>
      <w:r w:rsidR="008967F4">
        <w:rPr>
          <w:lang w:eastAsia="ko-KR"/>
        </w:rPr>
        <w:t xml:space="preserve"> </w:t>
      </w:r>
    </w:p>
    <w:p w14:paraId="40FDCFF0" w14:textId="17D0784F" w:rsidR="00803280" w:rsidRDefault="00803280" w:rsidP="00751095">
      <w:pPr>
        <w:spacing w:before="240" w:line="480" w:lineRule="auto"/>
        <w:ind w:firstLine="720"/>
      </w:pPr>
      <w:r w:rsidRPr="00803280">
        <w:rPr>
          <w:lang w:eastAsia="ko-KR"/>
        </w:rPr>
        <w:t xml:space="preserve">Figure </w:t>
      </w:r>
      <w:r>
        <w:rPr>
          <w:rFonts w:hint="eastAsia"/>
          <w:lang w:eastAsia="ko-KR"/>
        </w:rPr>
        <w:t>3</w:t>
      </w:r>
      <w:r w:rsidRPr="00803280">
        <w:rPr>
          <w:lang w:eastAsia="ko-KR"/>
        </w:rPr>
        <w:t xml:space="preserve"> reports relative bias for the growth variances and covariance; the growth means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803280">
        <w:rPr>
          <w:lang w:eastAsia="ko-KR"/>
        </w:rPr>
        <w:t xml:space="preserve"> and </w:t>
      </w:r>
      <m:oMath>
        <m:sSub>
          <m:sSubPr>
            <m:ctrlPr>
              <w:rPr>
                <w:rFonts w:ascii="Cambria Math" w:hAnsi="Cambria Math"/>
              </w:rPr>
            </m:ctrlPr>
          </m:sSubPr>
          <m:e>
            <m:r>
              <w:rPr>
                <w:rFonts w:ascii="Cambria Math" w:hAnsi="Cambria Math"/>
              </w:rPr>
              <m:t>κ</m:t>
            </m:r>
          </m:e>
          <m:sub>
            <m:r>
              <w:rPr>
                <w:rFonts w:ascii="Cambria Math" w:hAnsi="Cambria Math"/>
              </w:rPr>
              <m:t>S</m:t>
            </m:r>
          </m:sub>
        </m:sSub>
      </m:oMath>
      <w:r w:rsidRPr="00803280">
        <w:rPr>
          <w:lang w:eastAsia="ko-KR"/>
        </w:rPr>
        <w:t xml:space="preserve"> were essentially unbiased for both models in every cell and are reported in the supplement.</w:t>
      </w:r>
      <w:r>
        <w:rPr>
          <w:lang w:eastAsia="ko-KR"/>
        </w:rPr>
        <w:t xml:space="preserve"> Except for the condition under CU ignored, relative </w:t>
      </w:r>
      <w:r>
        <w:t xml:space="preserve">bias shrank toward zero with larger N, with the sum-score </w:t>
      </w:r>
      <w:r w:rsidR="00EB7ED9">
        <w:rPr>
          <w:rFonts w:hint="eastAsia"/>
          <w:lang w:eastAsia="ko-KR"/>
        </w:rPr>
        <w:t>1-</w:t>
      </w:r>
      <w:r w:rsidR="00EB7ED9">
        <w:rPr>
          <w:lang w:eastAsia="ko-KR"/>
        </w:rPr>
        <w:t>LGCM</w:t>
      </w:r>
      <w:r>
        <w:t xml:space="preserve"> more biased </w:t>
      </w:r>
      <w:r>
        <w:t>than 2-LGCM</w:t>
      </w:r>
      <w:r>
        <w:t>.</w:t>
      </w:r>
      <w:r w:rsidR="00B15ECF" w:rsidRPr="00B15ECF">
        <w:t xml:space="preserve"> </w:t>
      </w:r>
      <w:r w:rsidR="00B15ECF" w:rsidRPr="00B15ECF">
        <w:t>When CU was ignored, both models showed bias that did not decrease with N and exceeded the 10% band in nearly every cell, inflating the variances and pulling the intercept-slope covariance negative.</w:t>
      </w:r>
      <w:r w:rsidR="004C340E">
        <w:t xml:space="preserve"> </w:t>
      </w:r>
      <w:r w:rsidR="004C340E" w:rsidRPr="004C340E">
        <w:t xml:space="preserve">Across cells the </w:t>
      </w:r>
      <w:r w:rsidR="004C340E">
        <w:t xml:space="preserve">relative </w:t>
      </w:r>
      <w:r w:rsidR="004C340E" w:rsidRPr="004C340E">
        <w:t xml:space="preserve">bias was larger for the sum-score 1-LGCM than for the EC 2-LGCM, most clearly when measurement </w:t>
      </w:r>
      <w:r w:rsidR="00EB7ED9">
        <w:t xml:space="preserve">quality </w:t>
      </w:r>
      <w:r w:rsidR="004C340E" w:rsidRPr="004C340E">
        <w:t xml:space="preserve">was </w:t>
      </w:r>
      <w:r w:rsidR="00EB7ED9">
        <w:t>poor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=.16</m:t>
        </m:r>
      </m:oMath>
      <w:r w:rsidR="00EB7ED9">
        <w:t>)</w:t>
      </w:r>
      <w:r w:rsidR="004C340E" w:rsidRPr="004C340E">
        <w:t>.</w:t>
      </w:r>
    </w:p>
    <w:p w14:paraId="79108AFD" w14:textId="278104EA" w:rsidR="00617216" w:rsidRDefault="00617216" w:rsidP="00751095">
      <w:pPr>
        <w:spacing w:before="240" w:line="480" w:lineRule="auto"/>
        <w:ind w:firstLine="720"/>
      </w:pPr>
      <w:r>
        <w:t xml:space="preserve">Figure </w:t>
      </w:r>
      <w:r>
        <w:rPr>
          <w:rFonts w:hint="eastAsia"/>
          <w:lang w:eastAsia="ko-KR"/>
        </w:rPr>
        <w:t>4</w:t>
      </w:r>
      <w:r>
        <w:t xml:space="preserve"> reports relative RMSE for the growth variances and covariance. </w:t>
      </w:r>
      <w:r>
        <w:rPr>
          <w:lang w:eastAsia="ko-KR"/>
        </w:rPr>
        <w:t xml:space="preserve">Relative </w:t>
      </w:r>
      <w:r>
        <w:t xml:space="preserve">RMSE </w:t>
      </w:r>
      <w:r>
        <w:t>decreased</w:t>
      </w:r>
      <w:r>
        <w:t xml:space="preserve"> with</w:t>
      </w:r>
      <w:r>
        <w:t xml:space="preserve"> larger</w:t>
      </w:r>
      <w:r>
        <w:t xml:space="preserve"> N in every cell, but under CU ignored it settled at a nonzero by the persistent bias. The EC 2-LGCM reached equal or lower </w:t>
      </w:r>
      <w:r w:rsidR="00B63792">
        <w:t xml:space="preserve">relative </w:t>
      </w:r>
      <w:r>
        <w:t>RMSE than the sum-score 1-LGCM in nearly every cell. Its advantage was largest where the sum-score model was least efficient</w:t>
      </w:r>
      <w:r w:rsidR="00B63792">
        <w:t>,</w:t>
      </w:r>
      <w:r>
        <w:t xml:space="preserve"> at small samples under correctly modeled CU</w:t>
      </w:r>
      <w:r w:rsidR="00360955">
        <w:rPr>
          <w:rFonts w:hint="eastAsia"/>
          <w:lang w:eastAsia="ko-KR"/>
        </w:rPr>
        <w:t xml:space="preserve"> </w:t>
      </w:r>
      <w:r w:rsidR="00360955">
        <w:rPr>
          <w:lang w:eastAsia="ko-KR"/>
        </w:rPr>
        <w:t xml:space="preserve">among </w:t>
      </w:r>
      <m:oMath>
        <m:r>
          <w:rPr>
            <w:rFonts w:ascii="Cambria Math" w:hAnsi="Cambria Math"/>
          </w:rPr>
          <m:t>T=5</m:t>
        </m:r>
      </m:oMath>
      <w:r>
        <w:t xml:space="preserve"> and across the CU-ignored cells </w:t>
      </w:r>
      <w:r w:rsidR="00360955">
        <w:t xml:space="preserve">at the </w:t>
      </w:r>
      <w:r w:rsidR="00360955" w:rsidRPr="00360955">
        <w:t>most constrained cell (</w:t>
      </w:r>
      <m:oMath>
        <m:r>
          <w:rPr>
            <w:rFonts w:ascii="Cambria Math" w:hAnsi="Cambria Math"/>
          </w:rPr>
          <m:t>T=3</m:t>
        </m:r>
      </m:oMath>
      <w:r w:rsidR="00360955" w:rsidRPr="00360955">
        <w:t>,</w:t>
      </w:r>
      <w:r w:rsidR="00360955">
        <w:t xml:space="preserve"> </w:t>
      </w:r>
      <m:oMath>
        <m:r>
          <w:rPr>
            <w:rFonts w:ascii="Cambria Math" w:hAnsi="Cambria Math"/>
          </w:rPr>
          <m:t>J=3</m:t>
        </m:r>
      </m:oMath>
      <w:r w:rsidR="00360955" w:rsidRPr="00360955">
        <w:t>, low quality)</w:t>
      </w:r>
    </w:p>
    <w:p w14:paraId="349CDA04" w14:textId="22E1DF68" w:rsidR="00B037C8" w:rsidRDefault="00B037C8" w:rsidP="00751095">
      <w:pPr>
        <w:spacing w:before="240" w:line="480" w:lineRule="auto"/>
        <w:ind w:firstLine="720"/>
      </w:pPr>
      <w:r>
        <w:t xml:space="preserve">95% coverage rates are reported at figure 5. </w:t>
      </w:r>
      <w:r w:rsidR="00A25646">
        <w:t xml:space="preserve">Except for the CU ignored condition, coverage stayed near </w:t>
      </w:r>
      <w:r w:rsidR="00C11B01">
        <w:t>.95</w:t>
      </w:r>
      <w:r w:rsidR="00A25646">
        <w:t xml:space="preserve"> across </w:t>
      </w:r>
      <w:r w:rsidR="00C11B01">
        <w:t>every cell</w:t>
      </w:r>
      <w:r w:rsidR="00A25646">
        <w:t>. Under CU ignored, however, it fell sharply as N grew, because</w:t>
      </w:r>
      <w:r w:rsidR="009A6FEB">
        <w:t xml:space="preserve"> the systematic bias due to the omission of CU with smaller standard errors pushes the confidence interval off the true value more often</w:t>
      </w:r>
      <w:r w:rsidR="00A25646">
        <w:t xml:space="preserve"> </w:t>
      </w:r>
      <w:r w:rsidR="009A6FEB">
        <w:t>as sample size increases</w:t>
      </w:r>
      <w:r w:rsidR="00A25646">
        <w:t>. The drop was milder under good measurement quality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=.45</m:t>
        </m:r>
      </m:oMath>
      <w:r w:rsidR="0095176C">
        <w:t>; solid line</w:t>
      </w:r>
      <w:r w:rsidR="00A25646">
        <w:t>)</w:t>
      </w:r>
      <w:r w:rsidR="0095176C">
        <w:t xml:space="preserve"> and for EC 2-LGCM.</w:t>
      </w:r>
    </w:p>
    <w:p w14:paraId="714458E6" w14:textId="62062383" w:rsidR="009A6FEB" w:rsidRPr="00751095" w:rsidRDefault="009A6FEB" w:rsidP="00751095">
      <w:pPr>
        <w:spacing w:before="240" w:line="480" w:lineRule="auto"/>
        <w:ind w:firstLine="720"/>
        <w:rPr>
          <w:b/>
          <w:bCs/>
          <w:lang w:eastAsia="ko-KR"/>
        </w:rPr>
      </w:pPr>
      <w:r>
        <w:lastRenderedPageBreak/>
        <w:t>Statistical power for each growth parameter estimates is provided in figure 6.</w:t>
      </w:r>
    </w:p>
    <w:p w14:paraId="47E317BF" w14:textId="5F554D0D" w:rsidR="00CE22FB" w:rsidRPr="009A22CF" w:rsidRDefault="00103D0C" w:rsidP="009A22CF">
      <w:pPr>
        <w:spacing w:before="360" w:after="58" w:line="360" w:lineRule="auto"/>
        <w:ind w:right="562"/>
        <w:rPr>
          <w:b/>
          <w:bCs/>
        </w:rPr>
      </w:pPr>
      <w:r>
        <w:rPr>
          <w:b/>
          <w:bCs/>
        </w:rPr>
        <w:t xml:space="preserve">6 </w:t>
      </w:r>
      <w:r w:rsidR="00CE22FB" w:rsidRPr="009A22CF">
        <w:rPr>
          <w:b/>
          <w:bCs/>
        </w:rPr>
        <w:t>Discussion</w:t>
      </w:r>
    </w:p>
    <w:p w14:paraId="5139FC9E" w14:textId="0B4DEF54" w:rsidR="00E93E3E" w:rsidRDefault="00000000" w:rsidP="00501C34">
      <w:r>
        <w:br w:type="page"/>
      </w:r>
    </w:p>
    <w:p w14:paraId="3F2C555F" w14:textId="77777777" w:rsidR="00220576" w:rsidRDefault="00220576" w:rsidP="00F66249">
      <w:pPr>
        <w:spacing w:before="115" w:line="360" w:lineRule="auto"/>
        <w:rPr>
          <w:b/>
          <w:bCs/>
        </w:rPr>
      </w:pPr>
      <w:r>
        <w:rPr>
          <w:b/>
          <w:bCs/>
        </w:rPr>
        <w:lastRenderedPageBreak/>
        <w:t>References</w:t>
      </w:r>
    </w:p>
    <w:p w14:paraId="78794E44" w14:textId="77777777" w:rsidR="00531BBD" w:rsidRPr="00531BBD" w:rsidRDefault="00A1537F" w:rsidP="00F66249">
      <w:pPr>
        <w:pStyle w:val="Bibliography"/>
        <w:spacing w:before="115" w:line="360" w:lineRule="auto"/>
      </w:pPr>
      <w:r>
        <w:rPr>
          <w:b/>
          <w:bCs/>
        </w:rPr>
        <w:fldChar w:fldCharType="begin"/>
      </w:r>
      <w:r>
        <w:rPr>
          <w:b/>
          <w:bCs/>
        </w:rPr>
        <w:instrText xml:space="preserve"> ADDIN ZOTERO_BIBL {"uncited":[],"omitted":[],"custom":[]} CSL_BIBLIOGRAPHY </w:instrText>
      </w:r>
      <w:r>
        <w:rPr>
          <w:b/>
          <w:bCs/>
        </w:rPr>
        <w:fldChar w:fldCharType="separate"/>
      </w:r>
      <w:r w:rsidR="00531BBD" w:rsidRPr="00531BBD">
        <w:t xml:space="preserve">Bishop, J., Geiser, C., &amp; Cole, D. A. (2015). Modeling latent growth with multiple indicators: A comparison of three approaches. </w:t>
      </w:r>
      <w:r w:rsidR="00531BBD" w:rsidRPr="00531BBD">
        <w:rPr>
          <w:i/>
          <w:iCs/>
        </w:rPr>
        <w:t>Psychological Methods</w:t>
      </w:r>
      <w:r w:rsidR="00531BBD" w:rsidRPr="00531BBD">
        <w:t xml:space="preserve">, </w:t>
      </w:r>
      <w:r w:rsidR="00531BBD" w:rsidRPr="00531BBD">
        <w:rPr>
          <w:i/>
          <w:iCs/>
        </w:rPr>
        <w:t>20</w:t>
      </w:r>
      <w:r w:rsidR="00531BBD" w:rsidRPr="00531BBD">
        <w:t>(1), 43.</w:t>
      </w:r>
    </w:p>
    <w:p w14:paraId="60BC81CF" w14:textId="77777777" w:rsidR="00531BBD" w:rsidRPr="00531BBD" w:rsidRDefault="00531BBD" w:rsidP="00F66249">
      <w:pPr>
        <w:pStyle w:val="Bibliography"/>
        <w:spacing w:before="115" w:line="360" w:lineRule="auto"/>
      </w:pPr>
      <w:proofErr w:type="spellStart"/>
      <w:r w:rsidRPr="00531BBD">
        <w:t>Edelsbrunner</w:t>
      </w:r>
      <w:proofErr w:type="spellEnd"/>
      <w:r w:rsidRPr="00531BBD">
        <w:t xml:space="preserve">, P. A. (2022). A model and its fit lie in the eye of the beholder: Long live the sum score. </w:t>
      </w:r>
      <w:r w:rsidRPr="00531BBD">
        <w:rPr>
          <w:i/>
          <w:iCs/>
        </w:rPr>
        <w:t>Frontiers in Psychology</w:t>
      </w:r>
      <w:r w:rsidRPr="00531BBD">
        <w:t xml:space="preserve">, </w:t>
      </w:r>
      <w:r w:rsidRPr="00531BBD">
        <w:rPr>
          <w:i/>
          <w:iCs/>
        </w:rPr>
        <w:t>13</w:t>
      </w:r>
      <w:r w:rsidRPr="00531BBD">
        <w:t>, 986767. https://doi.org/10.3389/fpsyg.2022.986767</w:t>
      </w:r>
    </w:p>
    <w:p w14:paraId="3ACCCCD3" w14:textId="77777777" w:rsidR="00531BBD" w:rsidRPr="00531BBD" w:rsidRDefault="00531BBD" w:rsidP="00F66249">
      <w:pPr>
        <w:pStyle w:val="Bibliography"/>
        <w:spacing w:before="115" w:line="360" w:lineRule="auto"/>
      </w:pPr>
      <w:r w:rsidRPr="00531BBD">
        <w:t xml:space="preserve">Geiser, C., Keller, B. T., &amp; Lockhart, G. (2013). First-versus second-order latent growth curve models: Some insights from latent state-trait theory. </w:t>
      </w:r>
      <w:r w:rsidRPr="00531BBD">
        <w:rPr>
          <w:i/>
          <w:iCs/>
        </w:rPr>
        <w:t>Structural Equation Modeling: A Multidisciplinary Journal</w:t>
      </w:r>
      <w:r w:rsidRPr="00531BBD">
        <w:t xml:space="preserve">, </w:t>
      </w:r>
      <w:r w:rsidRPr="00531BBD">
        <w:rPr>
          <w:i/>
          <w:iCs/>
        </w:rPr>
        <w:t>20</w:t>
      </w:r>
      <w:r w:rsidRPr="00531BBD">
        <w:t>(3), 479–503.</w:t>
      </w:r>
    </w:p>
    <w:p w14:paraId="5DDA8056" w14:textId="77777777" w:rsidR="00531BBD" w:rsidRPr="00531BBD" w:rsidRDefault="00531BBD" w:rsidP="00F66249">
      <w:pPr>
        <w:pStyle w:val="Bibliography"/>
        <w:spacing w:before="115" w:line="360" w:lineRule="auto"/>
      </w:pPr>
      <w:r w:rsidRPr="00531BBD">
        <w:t xml:space="preserve">Isiordia, M., &amp; Ferrer, E. (2018). Curve of factors model: A latent growth modeling approach for educational research. </w:t>
      </w:r>
      <w:r w:rsidRPr="00531BBD">
        <w:rPr>
          <w:i/>
          <w:iCs/>
        </w:rPr>
        <w:t>Educational and Psychological Measurement</w:t>
      </w:r>
      <w:r w:rsidRPr="00531BBD">
        <w:t xml:space="preserve">, </w:t>
      </w:r>
      <w:r w:rsidRPr="00531BBD">
        <w:rPr>
          <w:i/>
          <w:iCs/>
        </w:rPr>
        <w:t>78</w:t>
      </w:r>
      <w:r w:rsidRPr="00531BBD">
        <w:t>(2), 203–231.</w:t>
      </w:r>
    </w:p>
    <w:p w14:paraId="227A3A3C" w14:textId="77777777" w:rsidR="00531BBD" w:rsidRPr="00531BBD" w:rsidRDefault="00531BBD" w:rsidP="00F66249">
      <w:pPr>
        <w:pStyle w:val="Bibliography"/>
        <w:spacing w:before="115" w:line="360" w:lineRule="auto"/>
      </w:pPr>
      <w:r w:rsidRPr="00531BBD">
        <w:t xml:space="preserve">Leite, W. L. (2007). A comparison of latent growth models for constructs measured by multiple items. </w:t>
      </w:r>
      <w:r w:rsidRPr="00531BBD">
        <w:rPr>
          <w:i/>
          <w:iCs/>
        </w:rPr>
        <w:t>Structural Equation Modeling: A Multidisciplinary Journal</w:t>
      </w:r>
      <w:r w:rsidRPr="00531BBD">
        <w:t xml:space="preserve">, </w:t>
      </w:r>
      <w:r w:rsidRPr="00531BBD">
        <w:rPr>
          <w:i/>
          <w:iCs/>
        </w:rPr>
        <w:t>14</w:t>
      </w:r>
      <w:r w:rsidRPr="00531BBD">
        <w:t>(4), 581–610.</w:t>
      </w:r>
    </w:p>
    <w:p w14:paraId="4618E537" w14:textId="77777777" w:rsidR="00531BBD" w:rsidRPr="00531BBD" w:rsidRDefault="00531BBD" w:rsidP="00F66249">
      <w:pPr>
        <w:pStyle w:val="Bibliography"/>
        <w:spacing w:before="115" w:line="360" w:lineRule="auto"/>
      </w:pPr>
      <w:r w:rsidRPr="00531BBD">
        <w:t xml:space="preserve">McArdle, J. J. (1988). Dynamic but structural equation modeling of repeated measures data. In </w:t>
      </w:r>
      <w:r w:rsidRPr="00531BBD">
        <w:rPr>
          <w:i/>
          <w:iCs/>
        </w:rPr>
        <w:t>Handbook of multivariate experimental psychology</w:t>
      </w:r>
      <w:r w:rsidRPr="00531BBD">
        <w:t xml:space="preserve"> (pp. 561–614). Springer.</w:t>
      </w:r>
    </w:p>
    <w:p w14:paraId="441E4B84" w14:textId="77777777" w:rsidR="00531BBD" w:rsidRPr="00531BBD" w:rsidRDefault="00531BBD" w:rsidP="00F66249">
      <w:pPr>
        <w:pStyle w:val="Bibliography"/>
        <w:spacing w:before="115" w:line="360" w:lineRule="auto"/>
      </w:pPr>
      <w:r w:rsidRPr="00531BBD">
        <w:t xml:space="preserve">McNeish, D. (2022). Psychometric properties of sum scores and factor scores differ even when their correlation is 0.98: A response to Widaman and Revelle. </w:t>
      </w:r>
      <w:r w:rsidRPr="00531BBD">
        <w:rPr>
          <w:i/>
          <w:iCs/>
        </w:rPr>
        <w:t>Behavior Research Methods</w:t>
      </w:r>
      <w:r w:rsidRPr="00531BBD">
        <w:t xml:space="preserve">, </w:t>
      </w:r>
      <w:r w:rsidRPr="00531BBD">
        <w:rPr>
          <w:i/>
          <w:iCs/>
        </w:rPr>
        <w:t>55</w:t>
      </w:r>
      <w:r w:rsidRPr="00531BBD">
        <w:t>(8), 4269–4290. https://doi.org/10.3758/s13428-022-02016-x</w:t>
      </w:r>
    </w:p>
    <w:p w14:paraId="5943ED4E" w14:textId="77777777" w:rsidR="00531BBD" w:rsidRPr="00531BBD" w:rsidRDefault="00531BBD" w:rsidP="00F66249">
      <w:pPr>
        <w:pStyle w:val="Bibliography"/>
        <w:spacing w:before="115" w:line="360" w:lineRule="auto"/>
      </w:pPr>
      <w:r w:rsidRPr="00531BBD">
        <w:t xml:space="preserve">McNeish, D. (2023). Psychometric properties of sum scores and factor scores differ even when their correlation is 0.98: A response to Widaman and Revelle. </w:t>
      </w:r>
      <w:r w:rsidRPr="00531BBD">
        <w:rPr>
          <w:i/>
          <w:iCs/>
        </w:rPr>
        <w:t>Behavior Research Methods</w:t>
      </w:r>
      <w:r w:rsidRPr="00531BBD">
        <w:t xml:space="preserve">, </w:t>
      </w:r>
      <w:r w:rsidRPr="00531BBD">
        <w:rPr>
          <w:i/>
          <w:iCs/>
        </w:rPr>
        <w:t>55</w:t>
      </w:r>
      <w:r w:rsidRPr="00531BBD">
        <w:t>(8), 4269–4290.</w:t>
      </w:r>
    </w:p>
    <w:p w14:paraId="1DF3A7D3" w14:textId="77777777" w:rsidR="00531BBD" w:rsidRPr="00531BBD" w:rsidRDefault="00531BBD" w:rsidP="00F66249">
      <w:pPr>
        <w:pStyle w:val="Bibliography"/>
        <w:spacing w:before="115" w:line="360" w:lineRule="auto"/>
      </w:pPr>
      <w:r w:rsidRPr="00531BBD">
        <w:t xml:space="preserve">McNeish, D. (2024). Practical Implications of Sum Scores Being Psychometrics’ Greatest Accomplishment. </w:t>
      </w:r>
      <w:r w:rsidRPr="00531BBD">
        <w:rPr>
          <w:i/>
          <w:iCs/>
        </w:rPr>
        <w:t>Psychometrika</w:t>
      </w:r>
      <w:r w:rsidRPr="00531BBD">
        <w:t xml:space="preserve">, </w:t>
      </w:r>
      <w:r w:rsidRPr="00531BBD">
        <w:rPr>
          <w:i/>
          <w:iCs/>
        </w:rPr>
        <w:t>89</w:t>
      </w:r>
      <w:r w:rsidRPr="00531BBD">
        <w:t>(4), 1148–1169. https://doi.org/10.1007/s11336-024-09988-z</w:t>
      </w:r>
    </w:p>
    <w:p w14:paraId="2779FF01" w14:textId="77777777" w:rsidR="00531BBD" w:rsidRPr="00531BBD" w:rsidRDefault="00531BBD" w:rsidP="00F66249">
      <w:pPr>
        <w:pStyle w:val="Bibliography"/>
        <w:spacing w:before="115" w:line="360" w:lineRule="auto"/>
      </w:pPr>
      <w:r w:rsidRPr="00531BBD">
        <w:t xml:space="preserve">McNeish, D., &amp; Wolf, M. G. (2020). Thinking twice about sum scores. </w:t>
      </w:r>
      <w:r w:rsidRPr="00531BBD">
        <w:rPr>
          <w:i/>
          <w:iCs/>
        </w:rPr>
        <w:t>Behavior Research Methods</w:t>
      </w:r>
      <w:r w:rsidRPr="00531BBD">
        <w:t xml:space="preserve">, </w:t>
      </w:r>
      <w:r w:rsidRPr="00531BBD">
        <w:rPr>
          <w:i/>
          <w:iCs/>
        </w:rPr>
        <w:t>52</w:t>
      </w:r>
      <w:r w:rsidRPr="00531BBD">
        <w:t>(6), 2287–2305.</w:t>
      </w:r>
    </w:p>
    <w:p w14:paraId="0E38896E" w14:textId="77777777" w:rsidR="00531BBD" w:rsidRPr="00531BBD" w:rsidRDefault="00531BBD" w:rsidP="00F66249">
      <w:pPr>
        <w:pStyle w:val="Bibliography"/>
        <w:spacing w:before="115" w:line="360" w:lineRule="auto"/>
      </w:pPr>
      <w:r w:rsidRPr="00531BBD">
        <w:lastRenderedPageBreak/>
        <w:t xml:space="preserve">Meredith, W., &amp; </w:t>
      </w:r>
      <w:proofErr w:type="spellStart"/>
      <w:r w:rsidRPr="00531BBD">
        <w:t>Tisak</w:t>
      </w:r>
      <w:proofErr w:type="spellEnd"/>
      <w:r w:rsidRPr="00531BBD">
        <w:t xml:space="preserve">, J. (1990). Latent curve analysis. </w:t>
      </w:r>
      <w:r w:rsidRPr="00531BBD">
        <w:rPr>
          <w:i/>
          <w:iCs/>
        </w:rPr>
        <w:t>Psychometrika</w:t>
      </w:r>
      <w:r w:rsidRPr="00531BBD">
        <w:t xml:space="preserve">, </w:t>
      </w:r>
      <w:r w:rsidRPr="00531BBD">
        <w:rPr>
          <w:i/>
          <w:iCs/>
        </w:rPr>
        <w:t>55</w:t>
      </w:r>
      <w:r w:rsidRPr="00531BBD">
        <w:t>(1), 107–122.</w:t>
      </w:r>
    </w:p>
    <w:p w14:paraId="29FD000D" w14:textId="77777777" w:rsidR="00531BBD" w:rsidRPr="00531BBD" w:rsidRDefault="00531BBD" w:rsidP="00F66249">
      <w:pPr>
        <w:pStyle w:val="Bibliography"/>
        <w:spacing w:before="115" w:line="360" w:lineRule="auto"/>
      </w:pPr>
      <w:proofErr w:type="spellStart"/>
      <w:r w:rsidRPr="00531BBD">
        <w:t>Mislevy</w:t>
      </w:r>
      <w:proofErr w:type="spellEnd"/>
      <w:r w:rsidRPr="00531BBD">
        <w:t xml:space="preserve">, R. J. (2024). Are sum scores a great accomplishment of psychometrics or intuitive test theory? </w:t>
      </w:r>
      <w:r w:rsidRPr="00531BBD">
        <w:rPr>
          <w:i/>
          <w:iCs/>
        </w:rPr>
        <w:t>Psychometrika</w:t>
      </w:r>
      <w:r w:rsidRPr="00531BBD">
        <w:t xml:space="preserve">, </w:t>
      </w:r>
      <w:r w:rsidRPr="00531BBD">
        <w:rPr>
          <w:i/>
          <w:iCs/>
        </w:rPr>
        <w:t>89</w:t>
      </w:r>
      <w:r w:rsidRPr="00531BBD">
        <w:t>(4), 1170–1174.</w:t>
      </w:r>
    </w:p>
    <w:p w14:paraId="69F7CA50" w14:textId="77777777" w:rsidR="00531BBD" w:rsidRPr="00531BBD" w:rsidRDefault="00531BBD" w:rsidP="00F66249">
      <w:pPr>
        <w:pStyle w:val="Bibliography"/>
        <w:spacing w:before="115" w:line="360" w:lineRule="auto"/>
        <w:rPr>
          <w:lang w:val="sv-SE"/>
        </w:rPr>
      </w:pPr>
      <w:proofErr w:type="spellStart"/>
      <w:r w:rsidRPr="00531BBD">
        <w:t>Sijtsma</w:t>
      </w:r>
      <w:proofErr w:type="spellEnd"/>
      <w:r w:rsidRPr="00531BBD">
        <w:t xml:space="preserve">, K., Ellis, J. L., &amp; Borsboom, D. (2024a). Recognize the Value of the Sum Score, Psychometrics’ Greatest Accomplishment. </w:t>
      </w:r>
      <w:proofErr w:type="spellStart"/>
      <w:r w:rsidRPr="00531BBD">
        <w:rPr>
          <w:i/>
          <w:iCs/>
          <w:lang w:val="sv-SE"/>
        </w:rPr>
        <w:t>Psychometrika</w:t>
      </w:r>
      <w:proofErr w:type="spellEnd"/>
      <w:r w:rsidRPr="00531BBD">
        <w:rPr>
          <w:lang w:val="sv-SE"/>
        </w:rPr>
        <w:t xml:space="preserve">, </w:t>
      </w:r>
      <w:r w:rsidRPr="00531BBD">
        <w:rPr>
          <w:i/>
          <w:iCs/>
          <w:lang w:val="sv-SE"/>
        </w:rPr>
        <w:t>89</w:t>
      </w:r>
      <w:r w:rsidRPr="00531BBD">
        <w:rPr>
          <w:lang w:val="sv-SE"/>
        </w:rPr>
        <w:t>(1), 84–117. https://doi.org/10.1007/s11336-024-09964-7</w:t>
      </w:r>
    </w:p>
    <w:p w14:paraId="621945DD" w14:textId="77777777" w:rsidR="00531BBD" w:rsidRPr="00531BBD" w:rsidRDefault="00531BBD" w:rsidP="00F66249">
      <w:pPr>
        <w:pStyle w:val="Bibliography"/>
        <w:spacing w:before="115" w:line="360" w:lineRule="auto"/>
        <w:rPr>
          <w:lang w:val="sv-SE"/>
        </w:rPr>
      </w:pPr>
      <w:proofErr w:type="spellStart"/>
      <w:r w:rsidRPr="00531BBD">
        <w:rPr>
          <w:lang w:val="sv-SE"/>
        </w:rPr>
        <w:t>Sijtsma</w:t>
      </w:r>
      <w:proofErr w:type="spellEnd"/>
      <w:r w:rsidRPr="00531BBD">
        <w:rPr>
          <w:lang w:val="sv-SE"/>
        </w:rPr>
        <w:t xml:space="preserve">, K., Ellis, J. L., &amp; Borsboom, D. (2024b). </w:t>
      </w:r>
      <w:r w:rsidRPr="00531BBD">
        <w:t xml:space="preserve">Rejoinder to McNeish and </w:t>
      </w:r>
      <w:proofErr w:type="spellStart"/>
      <w:r w:rsidRPr="00531BBD">
        <w:t>Mislevy</w:t>
      </w:r>
      <w:proofErr w:type="spellEnd"/>
      <w:r w:rsidRPr="00531BBD">
        <w:t xml:space="preserve">: What Does Psychological Measurement Require? </w:t>
      </w:r>
      <w:proofErr w:type="spellStart"/>
      <w:r w:rsidRPr="00531BBD">
        <w:rPr>
          <w:i/>
          <w:iCs/>
          <w:lang w:val="sv-SE"/>
        </w:rPr>
        <w:t>Psychometrika</w:t>
      </w:r>
      <w:proofErr w:type="spellEnd"/>
      <w:r w:rsidRPr="00531BBD">
        <w:rPr>
          <w:lang w:val="sv-SE"/>
        </w:rPr>
        <w:t xml:space="preserve">, </w:t>
      </w:r>
      <w:r w:rsidRPr="00531BBD">
        <w:rPr>
          <w:i/>
          <w:iCs/>
          <w:lang w:val="sv-SE"/>
        </w:rPr>
        <w:t>89</w:t>
      </w:r>
      <w:r w:rsidRPr="00531BBD">
        <w:rPr>
          <w:lang w:val="sv-SE"/>
        </w:rPr>
        <w:t>(4), 1175–1185. https://doi.org/10.1007/s11336-024-10004-7</w:t>
      </w:r>
    </w:p>
    <w:p w14:paraId="7E9A1137" w14:textId="77777777" w:rsidR="00531BBD" w:rsidRPr="00531BBD" w:rsidRDefault="00531BBD" w:rsidP="00F66249">
      <w:pPr>
        <w:pStyle w:val="Bibliography"/>
        <w:spacing w:before="115" w:line="360" w:lineRule="auto"/>
      </w:pPr>
      <w:proofErr w:type="spellStart"/>
      <w:r w:rsidRPr="00531BBD">
        <w:rPr>
          <w:lang w:val="sv-SE"/>
        </w:rPr>
        <w:t>Widaman</w:t>
      </w:r>
      <w:proofErr w:type="spellEnd"/>
      <w:r w:rsidRPr="00531BBD">
        <w:rPr>
          <w:lang w:val="sv-SE"/>
        </w:rPr>
        <w:t xml:space="preserve">, K. F., &amp; </w:t>
      </w:r>
      <w:proofErr w:type="spellStart"/>
      <w:r w:rsidRPr="00531BBD">
        <w:rPr>
          <w:lang w:val="sv-SE"/>
        </w:rPr>
        <w:t>Revelle</w:t>
      </w:r>
      <w:proofErr w:type="spellEnd"/>
      <w:r w:rsidRPr="00531BBD">
        <w:rPr>
          <w:lang w:val="sv-SE"/>
        </w:rPr>
        <w:t xml:space="preserve">, W. (2022). </w:t>
      </w:r>
      <w:r w:rsidRPr="00531BBD">
        <w:t xml:space="preserve">Thinking thrice about sum scores, and then some more about measurement and analysis. </w:t>
      </w:r>
      <w:r w:rsidRPr="00531BBD">
        <w:rPr>
          <w:i/>
          <w:iCs/>
        </w:rPr>
        <w:t>Behavior Research Methods</w:t>
      </w:r>
      <w:r w:rsidRPr="00531BBD">
        <w:t xml:space="preserve">, </w:t>
      </w:r>
      <w:r w:rsidRPr="00531BBD">
        <w:rPr>
          <w:i/>
          <w:iCs/>
        </w:rPr>
        <w:t>55</w:t>
      </w:r>
      <w:r w:rsidRPr="00531BBD">
        <w:t>(2), 788–806. https://doi.org/10.3758/s13428-022-01849-w</w:t>
      </w:r>
    </w:p>
    <w:p w14:paraId="77935454" w14:textId="77777777" w:rsidR="00531BBD" w:rsidRPr="00531BBD" w:rsidRDefault="00531BBD" w:rsidP="00F66249">
      <w:pPr>
        <w:pStyle w:val="Bibliography"/>
        <w:spacing w:before="115" w:line="360" w:lineRule="auto"/>
      </w:pPr>
      <w:r w:rsidRPr="00531BBD">
        <w:t xml:space="preserve">Widaman, K. F., &amp; Revelle, W. (2024). Thinking about sum scores yet again, maybe the last time, we don’t know, Oh no...: A comment on. </w:t>
      </w:r>
      <w:r w:rsidRPr="00531BBD">
        <w:rPr>
          <w:i/>
          <w:iCs/>
        </w:rPr>
        <w:t>Educational and Psychological Measurement</w:t>
      </w:r>
      <w:r w:rsidRPr="00531BBD">
        <w:t xml:space="preserve">, </w:t>
      </w:r>
      <w:r w:rsidRPr="00531BBD">
        <w:rPr>
          <w:i/>
          <w:iCs/>
        </w:rPr>
        <w:t>84</w:t>
      </w:r>
      <w:r w:rsidRPr="00531BBD">
        <w:t>(4), 637–659.</w:t>
      </w:r>
    </w:p>
    <w:p w14:paraId="6D5379A6" w14:textId="6A170330" w:rsidR="00220576" w:rsidRDefault="00A1537F" w:rsidP="00F66249">
      <w:pPr>
        <w:pStyle w:val="Bibliography"/>
        <w:spacing w:before="115" w:line="360" w:lineRule="auto"/>
        <w:rPr>
          <w:b/>
          <w:bCs/>
        </w:rPr>
      </w:pPr>
      <w:r>
        <w:rPr>
          <w:b/>
          <w:bCs/>
        </w:rPr>
        <w:fldChar w:fldCharType="end"/>
      </w:r>
      <w:r w:rsidR="00220576">
        <w:rPr>
          <w:b/>
          <w:bCs/>
        </w:rPr>
        <w:br w:type="page"/>
      </w:r>
    </w:p>
    <w:p w14:paraId="389D1F3A" w14:textId="7C8AA11B" w:rsidR="00E93E3E" w:rsidRDefault="00000000" w:rsidP="00501C34">
      <w:pPr>
        <w:pStyle w:val="BodyText"/>
        <w:spacing w:before="0" w:after="0"/>
      </w:pPr>
      <w:r>
        <w:rPr>
          <w:b/>
          <w:bCs/>
        </w:rPr>
        <w:lastRenderedPageBreak/>
        <w:t>Table 1.</w:t>
      </w:r>
      <w:r>
        <w:t xml:space="preserve"> Population growth parameters in the data-generating and EC fitted metrics.</w:t>
      </w:r>
    </w:p>
    <w:tbl>
      <w:tblPr>
        <w:tblW w:w="8499" w:type="dxa"/>
        <w:tblLayout w:type="fixed"/>
        <w:tblLook w:val="0600" w:firstRow="0" w:lastRow="0" w:firstColumn="0" w:lastColumn="0" w:noHBand="1" w:noVBand="1"/>
      </w:tblPr>
      <w:tblGrid>
        <w:gridCol w:w="454"/>
        <w:gridCol w:w="1546"/>
        <w:gridCol w:w="1600"/>
        <w:gridCol w:w="2199"/>
        <w:gridCol w:w="1350"/>
        <w:gridCol w:w="1350"/>
      </w:tblGrid>
      <w:tr w:rsidR="00741104" w14:paraId="0875FB6A" w14:textId="77777777" w:rsidTr="003C20A1">
        <w:tc>
          <w:tcPr>
            <w:tcW w:w="2000" w:type="dxa"/>
            <w:gridSpan w:val="2"/>
            <w:tcBorders>
              <w:top w:val="single" w:sz="6" w:space="0" w:color="000000"/>
              <w:bottom w:val="single" w:sz="6" w:space="0" w:color="000000"/>
            </w:tcBorders>
            <w:tcMar>
              <w:top w:w="40" w:type="dxa"/>
              <w:left w:w="80" w:type="dxa"/>
              <w:bottom w:w="40" w:type="dxa"/>
              <w:right w:w="80" w:type="dxa"/>
            </w:tcMar>
            <w:vAlign w:val="center"/>
          </w:tcPr>
          <w:p w14:paraId="6668A21E" w14:textId="77777777" w:rsidR="00741104" w:rsidRDefault="00741104" w:rsidP="003C20A1">
            <w:pPr>
              <w:spacing w:before="20" w:after="20"/>
              <w:rPr>
                <w:rFonts w:eastAsia="Times New Roman"/>
              </w:rPr>
            </w:pPr>
            <w:r>
              <w:rPr>
                <w:rFonts w:eastAsia="Times New Roman"/>
                <w:b/>
                <w:bCs/>
              </w:rPr>
              <w:t>Parameter</w:t>
            </w:r>
          </w:p>
        </w:tc>
        <w:tc>
          <w:tcPr>
            <w:tcW w:w="1600" w:type="dxa"/>
            <w:tcBorders>
              <w:top w:val="single" w:sz="6" w:space="0" w:color="000000"/>
              <w:bottom w:val="single" w:sz="6" w:space="0" w:color="000000"/>
            </w:tcBorders>
            <w:tcMar>
              <w:top w:w="40" w:type="dxa"/>
              <w:left w:w="80" w:type="dxa"/>
              <w:bottom w:w="40" w:type="dxa"/>
              <w:right w:w="80" w:type="dxa"/>
            </w:tcMar>
            <w:vAlign w:val="center"/>
          </w:tcPr>
          <w:p w14:paraId="57203C8D" w14:textId="77777777" w:rsidR="00741104" w:rsidRDefault="00741104" w:rsidP="003C20A1">
            <w:pPr>
              <w:spacing w:before="20" w:after="20"/>
              <w:jc w:val="center"/>
              <w:rPr>
                <w:rFonts w:eastAsia="Times New Roman"/>
              </w:rPr>
            </w:pPr>
            <w:r>
              <w:rPr>
                <w:rFonts w:eastAsia="Times New Roman"/>
                <w:b/>
                <w:bCs/>
              </w:rPr>
              <w:t>Generating model</w:t>
            </w:r>
          </w:p>
        </w:tc>
        <w:tc>
          <w:tcPr>
            <w:tcW w:w="2199" w:type="dxa"/>
            <w:tcBorders>
              <w:top w:val="single" w:sz="6" w:space="0" w:color="000000"/>
              <w:bottom w:val="single" w:sz="6" w:space="0" w:color="000000"/>
            </w:tcBorders>
            <w:tcMar>
              <w:top w:w="40" w:type="dxa"/>
              <w:left w:w="80" w:type="dxa"/>
              <w:bottom w:w="40" w:type="dxa"/>
              <w:right w:w="80" w:type="dxa"/>
            </w:tcMar>
            <w:vAlign w:val="center"/>
          </w:tcPr>
          <w:p w14:paraId="0ABFDD65" w14:textId="77777777" w:rsidR="00741104" w:rsidRDefault="00741104" w:rsidP="003C20A1">
            <w:pPr>
              <w:spacing w:before="20" w:after="20"/>
              <w:jc w:val="center"/>
              <w:rPr>
                <w:rFonts w:eastAsia="Times New Roman"/>
              </w:rPr>
            </w:pPr>
            <w:r>
              <w:rPr>
                <w:rFonts w:eastAsia="Times New Roman"/>
                <w:b/>
                <w:bCs/>
              </w:rPr>
              <w:t>EC transformation rule</w:t>
            </w:r>
          </w:p>
        </w:tc>
        <w:tc>
          <w:tcPr>
            <w:tcW w:w="1350" w:type="dxa"/>
            <w:tcBorders>
              <w:top w:val="single" w:sz="6" w:space="0" w:color="000000"/>
              <w:bottom w:val="single" w:sz="6" w:space="0" w:color="000000"/>
            </w:tcBorders>
            <w:tcMar>
              <w:top w:w="40" w:type="dxa"/>
              <w:left w:w="80" w:type="dxa"/>
              <w:bottom w:w="40" w:type="dxa"/>
              <w:right w:w="80" w:type="dxa"/>
            </w:tcMar>
            <w:vAlign w:val="center"/>
          </w:tcPr>
          <w:p w14:paraId="7D9D1BF1" w14:textId="77777777" w:rsidR="00741104" w:rsidRDefault="00741104" w:rsidP="003C20A1">
            <w:pPr>
              <w:spacing w:before="20" w:after="20"/>
              <w:jc w:val="center"/>
              <w:rPr>
                <w:rFonts w:eastAsia="Times New Roman"/>
              </w:rPr>
            </w:pPr>
            <w:r>
              <w:rPr>
                <w:rFonts w:eastAsia="Times New Roman"/>
                <w:b/>
                <w:bCs/>
              </w:rPr>
              <w:t>EC-fitted</w:t>
            </w:r>
            <w:r>
              <w:rPr>
                <w:rFonts w:eastAsia="Times New Roman"/>
              </w:rPr>
              <w:br/>
            </w:r>
            <w:r>
              <w:rPr>
                <w:rFonts w:eastAsia="Times New Roman"/>
                <w:i/>
                <w:iCs/>
              </w:rPr>
              <w:t>J</w:t>
            </w:r>
            <w:r>
              <w:rPr>
                <w:rFonts w:eastAsia="Times New Roman"/>
                <w:b/>
                <w:bCs/>
              </w:rPr>
              <w:t xml:space="preserve"> = 5</w:t>
            </w:r>
          </w:p>
        </w:tc>
        <w:tc>
          <w:tcPr>
            <w:tcW w:w="1350" w:type="dxa"/>
            <w:tcBorders>
              <w:top w:val="single" w:sz="6" w:space="0" w:color="000000"/>
              <w:bottom w:val="single" w:sz="6" w:space="0" w:color="000000"/>
            </w:tcBorders>
            <w:tcMar>
              <w:top w:w="40" w:type="dxa"/>
              <w:left w:w="80" w:type="dxa"/>
              <w:bottom w:w="40" w:type="dxa"/>
              <w:right w:w="80" w:type="dxa"/>
            </w:tcMar>
            <w:vAlign w:val="center"/>
          </w:tcPr>
          <w:p w14:paraId="0F45EBDB" w14:textId="77777777" w:rsidR="00741104" w:rsidRDefault="00741104" w:rsidP="003C20A1">
            <w:pPr>
              <w:spacing w:before="20" w:after="20"/>
              <w:jc w:val="center"/>
              <w:rPr>
                <w:rFonts w:eastAsia="Times New Roman"/>
              </w:rPr>
            </w:pPr>
            <w:r>
              <w:rPr>
                <w:rFonts w:eastAsia="Times New Roman"/>
                <w:b/>
                <w:bCs/>
              </w:rPr>
              <w:t>EC-fitted</w:t>
            </w:r>
            <w:r>
              <w:rPr>
                <w:rFonts w:eastAsia="Times New Roman"/>
              </w:rPr>
              <w:br/>
            </w:r>
            <w:r>
              <w:rPr>
                <w:rFonts w:eastAsia="Times New Roman"/>
                <w:i/>
                <w:iCs/>
              </w:rPr>
              <w:t>J</w:t>
            </w:r>
            <w:r>
              <w:rPr>
                <w:rFonts w:eastAsia="Times New Roman"/>
                <w:b/>
                <w:bCs/>
              </w:rPr>
              <w:t xml:space="preserve"> = 3</w:t>
            </w:r>
          </w:p>
        </w:tc>
      </w:tr>
      <w:tr w:rsidR="00741104" w14:paraId="39474AD4" w14:textId="77777777" w:rsidTr="003C20A1">
        <w:tc>
          <w:tcPr>
            <w:tcW w:w="8499" w:type="dxa"/>
            <w:gridSpan w:val="6"/>
            <w:shd w:val="clear" w:color="auto" w:fill="F2F2F2"/>
            <w:tcMar>
              <w:top w:w="40" w:type="dxa"/>
              <w:left w:w="80" w:type="dxa"/>
              <w:bottom w:w="40" w:type="dxa"/>
              <w:right w:w="80" w:type="dxa"/>
            </w:tcMar>
            <w:vAlign w:val="center"/>
          </w:tcPr>
          <w:p w14:paraId="313AD698" w14:textId="77777777" w:rsidR="00741104" w:rsidRDefault="00741104" w:rsidP="003C20A1">
            <w:pPr>
              <w:spacing w:before="20" w:after="20"/>
              <w:rPr>
                <w:rFonts w:eastAsia="Times New Roman"/>
              </w:rPr>
            </w:pPr>
            <w:r>
              <w:rPr>
                <w:rFonts w:eastAsia="Times New Roman"/>
                <w:b/>
                <w:bCs/>
                <w:i/>
                <w:iCs/>
              </w:rPr>
              <w:t>Effects-coding re-scaling constants</w:t>
            </w:r>
          </w:p>
        </w:tc>
      </w:tr>
      <w:tr w:rsidR="00741104" w14:paraId="4B3C2749" w14:textId="77777777" w:rsidTr="003C20A1">
        <w:tc>
          <w:tcPr>
            <w:tcW w:w="2000" w:type="dxa"/>
            <w:gridSpan w:val="2"/>
            <w:tcMar>
              <w:top w:w="40" w:type="dxa"/>
              <w:left w:w="80" w:type="dxa"/>
              <w:bottom w:w="40" w:type="dxa"/>
              <w:right w:w="80" w:type="dxa"/>
            </w:tcMar>
            <w:vAlign w:val="center"/>
          </w:tcPr>
          <w:p w14:paraId="7F0E7709" w14:textId="77777777" w:rsidR="00741104" w:rsidRDefault="00741104" w:rsidP="003C20A1">
            <w:pPr>
              <w:spacing w:before="20" w:after="20"/>
              <w:rPr>
                <w:rFonts w:eastAsia="Times New Roman"/>
              </w:rPr>
            </w:pPr>
            <w:r>
              <w:rPr>
                <w:rFonts w:eastAsia="Times New Roman"/>
              </w:rPr>
              <w:t xml:space="preserve">Scaling factor, </w:t>
            </w:r>
            <m:oMath>
              <m:r>
                <w:rPr>
                  <w:rFonts w:ascii="Cambria Math" w:eastAsia="Cambria Math" w:hAnsi="Cambria Math" w:cs="Cambria Math"/>
                </w:rPr>
                <m:t>a</m:t>
              </m:r>
            </m:oMath>
          </w:p>
        </w:tc>
        <w:tc>
          <w:tcPr>
            <w:tcW w:w="1600" w:type="dxa"/>
            <w:tcMar>
              <w:top w:w="40" w:type="dxa"/>
              <w:left w:w="80" w:type="dxa"/>
              <w:bottom w:w="40" w:type="dxa"/>
              <w:right w:w="80" w:type="dxa"/>
            </w:tcMar>
            <w:vAlign w:val="center"/>
          </w:tcPr>
          <w:p w14:paraId="68F9942C" w14:textId="77777777" w:rsidR="00741104" w:rsidRDefault="00741104" w:rsidP="003C20A1">
            <w:pPr>
              <w:jc w:val="center"/>
              <w:rPr>
                <w:rFonts w:ascii="Cambria Math" w:eastAsia="Cambria Math" w:hAnsi="Cambria Math" w:cs="Cambria Math"/>
              </w:rPr>
            </w:pPr>
            <m:oMathPara>
              <m:oMath>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i</m:t>
                    </m:r>
                  </m:sub>
                </m:sSub>
              </m:oMath>
            </m:oMathPara>
          </w:p>
        </w:tc>
        <w:tc>
          <w:tcPr>
            <w:tcW w:w="2199" w:type="dxa"/>
            <w:tcMar>
              <w:top w:w="40" w:type="dxa"/>
              <w:left w:w="80" w:type="dxa"/>
              <w:bottom w:w="40" w:type="dxa"/>
              <w:right w:w="80" w:type="dxa"/>
            </w:tcMar>
            <w:vAlign w:val="center"/>
          </w:tcPr>
          <w:p w14:paraId="49B63839" w14:textId="77777777" w:rsidR="00741104" w:rsidRDefault="00741104" w:rsidP="003C20A1">
            <w:pPr>
              <w:spacing w:before="20" w:after="20"/>
              <w:rPr>
                <w:rFonts w:eastAsia="Times New Roman"/>
              </w:rPr>
            </w:pPr>
            <w:r>
              <w:rPr>
                <w:rFonts w:eastAsia="Times New Roman"/>
              </w:rPr>
              <w:t xml:space="preserve">Sum of all </w:t>
            </w:r>
            <w:r>
              <w:rPr>
                <w:rFonts w:eastAsia="Times New Roman"/>
                <w:i/>
                <w:iCs/>
              </w:rPr>
              <w:t>J</w:t>
            </w:r>
            <w:r>
              <w:rPr>
                <w:rFonts w:eastAsia="Times New Roman"/>
              </w:rPr>
              <w:t xml:space="preserve"> item loadings at a wave</w:t>
            </w:r>
          </w:p>
        </w:tc>
        <w:tc>
          <w:tcPr>
            <w:tcW w:w="1350" w:type="dxa"/>
            <w:tcMar>
              <w:top w:w="40" w:type="dxa"/>
              <w:left w:w="80" w:type="dxa"/>
              <w:bottom w:w="40" w:type="dxa"/>
              <w:right w:w="80" w:type="dxa"/>
            </w:tcMar>
            <w:vAlign w:val="center"/>
          </w:tcPr>
          <w:p w14:paraId="6E97AD2F" w14:textId="77777777" w:rsidR="00741104" w:rsidRDefault="00741104" w:rsidP="003C20A1">
            <w:pPr>
              <w:spacing w:before="20" w:after="20"/>
              <w:jc w:val="center"/>
              <w:rPr>
                <w:rFonts w:eastAsia="Times New Roman"/>
              </w:rPr>
            </w:pPr>
            <w:r>
              <w:rPr>
                <w:rFonts w:eastAsia="Times New Roman"/>
              </w:rPr>
              <w:t>1</w:t>
            </w:r>
          </w:p>
        </w:tc>
        <w:tc>
          <w:tcPr>
            <w:tcW w:w="1350" w:type="dxa"/>
            <w:tcMar>
              <w:top w:w="40" w:type="dxa"/>
              <w:left w:w="80" w:type="dxa"/>
              <w:bottom w:w="40" w:type="dxa"/>
              <w:right w:w="80" w:type="dxa"/>
            </w:tcMar>
            <w:vAlign w:val="center"/>
          </w:tcPr>
          <w:p w14:paraId="4BDBD30B" w14:textId="77777777" w:rsidR="00741104" w:rsidRDefault="00741104" w:rsidP="003C20A1">
            <w:pPr>
              <w:spacing w:before="20" w:after="20"/>
              <w:jc w:val="center"/>
              <w:rPr>
                <w:rFonts w:eastAsia="Times New Roman"/>
              </w:rPr>
            </w:pPr>
            <w:r>
              <w:rPr>
                <w:rFonts w:eastAsia="Times New Roman"/>
              </w:rPr>
              <w:t>.6</w:t>
            </w:r>
          </w:p>
        </w:tc>
      </w:tr>
      <w:tr w:rsidR="00741104" w14:paraId="7BEE13F0" w14:textId="77777777" w:rsidTr="003C20A1">
        <w:tc>
          <w:tcPr>
            <w:tcW w:w="2000" w:type="dxa"/>
            <w:gridSpan w:val="2"/>
            <w:tcMar>
              <w:top w:w="40" w:type="dxa"/>
              <w:left w:w="80" w:type="dxa"/>
              <w:bottom w:w="40" w:type="dxa"/>
              <w:right w:w="80" w:type="dxa"/>
            </w:tcMar>
            <w:vAlign w:val="center"/>
          </w:tcPr>
          <w:p w14:paraId="5DBBF0A3" w14:textId="77777777" w:rsidR="00741104" w:rsidRDefault="00741104" w:rsidP="003C20A1">
            <w:pPr>
              <w:spacing w:before="20" w:after="20"/>
              <w:rPr>
                <w:rFonts w:eastAsia="Times New Roman"/>
              </w:rPr>
            </w:pPr>
            <w:r>
              <w:rPr>
                <w:rFonts w:eastAsia="Times New Roman"/>
              </w:rPr>
              <w:t xml:space="preserve">Location shift, </w:t>
            </w:r>
            <m:oMath>
              <m:r>
                <w:rPr>
                  <w:rFonts w:ascii="Cambria Math" w:eastAsia="Cambria Math" w:hAnsi="Cambria Math" w:cs="Cambria Math"/>
                </w:rPr>
                <m:t>c</m:t>
              </m:r>
            </m:oMath>
          </w:p>
        </w:tc>
        <w:tc>
          <w:tcPr>
            <w:tcW w:w="1600" w:type="dxa"/>
            <w:tcMar>
              <w:top w:w="40" w:type="dxa"/>
              <w:left w:w="80" w:type="dxa"/>
              <w:bottom w:w="40" w:type="dxa"/>
              <w:right w:w="80" w:type="dxa"/>
            </w:tcMar>
            <w:vAlign w:val="center"/>
          </w:tcPr>
          <w:p w14:paraId="0E0B843F" w14:textId="77777777" w:rsidR="00741104" w:rsidRDefault="00741104" w:rsidP="003C20A1">
            <w:pPr>
              <w:jc w:val="center"/>
              <w:rPr>
                <w:rFonts w:ascii="Cambria Math" w:eastAsia="Cambria Math" w:hAnsi="Cambria Math" w:cs="Cambria Math"/>
              </w:rPr>
            </w:pPr>
            <m:oMathPara>
              <m:oMath>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i</m:t>
                    </m:r>
                  </m:sub>
                </m:sSub>
              </m:oMath>
            </m:oMathPara>
          </w:p>
        </w:tc>
        <w:tc>
          <w:tcPr>
            <w:tcW w:w="2199" w:type="dxa"/>
            <w:tcMar>
              <w:top w:w="40" w:type="dxa"/>
              <w:left w:w="80" w:type="dxa"/>
              <w:bottom w:w="40" w:type="dxa"/>
              <w:right w:w="80" w:type="dxa"/>
            </w:tcMar>
            <w:vAlign w:val="center"/>
          </w:tcPr>
          <w:p w14:paraId="6ADD0EFE" w14:textId="77777777" w:rsidR="00741104" w:rsidRDefault="00741104" w:rsidP="003C20A1">
            <w:pPr>
              <w:spacing w:before="20" w:after="20"/>
              <w:rPr>
                <w:rFonts w:eastAsia="Times New Roman"/>
              </w:rPr>
            </w:pPr>
            <w:r>
              <w:rPr>
                <w:rFonts w:eastAsia="Times New Roman"/>
              </w:rPr>
              <w:t xml:space="preserve">Sum of all </w:t>
            </w:r>
            <w:r>
              <w:rPr>
                <w:rFonts w:eastAsia="Times New Roman"/>
                <w:i/>
                <w:iCs/>
              </w:rPr>
              <w:t>J</w:t>
            </w:r>
            <w:r>
              <w:rPr>
                <w:rFonts w:eastAsia="Times New Roman"/>
              </w:rPr>
              <w:t xml:space="preserve"> item intercepts at a wave</w:t>
            </w:r>
          </w:p>
        </w:tc>
        <w:tc>
          <w:tcPr>
            <w:tcW w:w="1350" w:type="dxa"/>
            <w:tcMar>
              <w:top w:w="40" w:type="dxa"/>
              <w:left w:w="80" w:type="dxa"/>
              <w:bottom w:w="40" w:type="dxa"/>
              <w:right w:w="80" w:type="dxa"/>
            </w:tcMar>
            <w:vAlign w:val="center"/>
          </w:tcPr>
          <w:p w14:paraId="3D9529A0" w14:textId="77777777" w:rsidR="00741104" w:rsidRDefault="00741104" w:rsidP="003C20A1">
            <w:pPr>
              <w:spacing w:before="20" w:after="20"/>
              <w:jc w:val="center"/>
              <w:rPr>
                <w:rFonts w:eastAsia="Times New Roman"/>
              </w:rPr>
            </w:pPr>
            <w:r>
              <w:rPr>
                <w:rFonts w:eastAsia="Times New Roman"/>
              </w:rPr>
              <w:t>.5</w:t>
            </w:r>
          </w:p>
        </w:tc>
        <w:tc>
          <w:tcPr>
            <w:tcW w:w="1350" w:type="dxa"/>
            <w:tcMar>
              <w:top w:w="40" w:type="dxa"/>
              <w:left w:w="80" w:type="dxa"/>
              <w:bottom w:w="40" w:type="dxa"/>
              <w:right w:w="80" w:type="dxa"/>
            </w:tcMar>
            <w:vAlign w:val="center"/>
          </w:tcPr>
          <w:p w14:paraId="1E6AA2A3" w14:textId="77777777" w:rsidR="00741104" w:rsidRDefault="00741104" w:rsidP="003C20A1">
            <w:pPr>
              <w:spacing w:before="20" w:after="20"/>
              <w:jc w:val="center"/>
              <w:rPr>
                <w:rFonts w:eastAsia="Times New Roman"/>
              </w:rPr>
            </w:pPr>
            <w:r>
              <w:rPr>
                <w:rFonts w:eastAsia="Times New Roman"/>
              </w:rPr>
              <w:t>.3</w:t>
            </w:r>
          </w:p>
        </w:tc>
      </w:tr>
      <w:tr w:rsidR="00741104" w14:paraId="7F837412" w14:textId="77777777" w:rsidTr="003C20A1">
        <w:tc>
          <w:tcPr>
            <w:tcW w:w="8499" w:type="dxa"/>
            <w:gridSpan w:val="6"/>
            <w:shd w:val="clear" w:color="auto" w:fill="F2F2F2"/>
            <w:tcMar>
              <w:top w:w="40" w:type="dxa"/>
              <w:left w:w="80" w:type="dxa"/>
              <w:bottom w:w="40" w:type="dxa"/>
              <w:right w:w="80" w:type="dxa"/>
            </w:tcMar>
            <w:vAlign w:val="center"/>
          </w:tcPr>
          <w:p w14:paraId="777FDE63" w14:textId="77777777" w:rsidR="00741104" w:rsidRDefault="00741104" w:rsidP="003C20A1">
            <w:pPr>
              <w:spacing w:before="20" w:after="20"/>
              <w:rPr>
                <w:rFonts w:eastAsia="Times New Roman"/>
              </w:rPr>
            </w:pPr>
            <w:r>
              <w:rPr>
                <w:rFonts w:eastAsia="Times New Roman"/>
                <w:b/>
                <w:bCs/>
                <w:i/>
                <w:iCs/>
              </w:rPr>
              <w:t>Mean of growth intercept and slope</w:t>
            </w:r>
          </w:p>
        </w:tc>
      </w:tr>
      <w:tr w:rsidR="00741104" w14:paraId="0EBFBC02" w14:textId="77777777" w:rsidTr="003C20A1">
        <w:tc>
          <w:tcPr>
            <w:tcW w:w="2000" w:type="dxa"/>
            <w:gridSpan w:val="2"/>
            <w:tcMar>
              <w:top w:w="40" w:type="dxa"/>
              <w:left w:w="80" w:type="dxa"/>
              <w:bottom w:w="40" w:type="dxa"/>
              <w:right w:w="80" w:type="dxa"/>
            </w:tcMar>
            <w:vAlign w:val="center"/>
          </w:tcPr>
          <w:p w14:paraId="7108DD55" w14:textId="77777777" w:rsidR="00741104" w:rsidRDefault="00741104" w:rsidP="003C20A1">
            <w:pPr>
              <w:spacing w:before="20" w:after="20"/>
              <w:rPr>
                <w:rFonts w:eastAsia="Times New Roman"/>
              </w:rPr>
            </w:pPr>
            <w:r>
              <w:rPr>
                <w:rFonts w:eastAsia="Times New Roman"/>
              </w:rPr>
              <w:t xml:space="preserve">Intercept, </w:t>
            </w:r>
            <m:oMath>
              <m:sSub>
                <m:sSubPr>
                  <m:ctrlPr>
                    <w:rPr>
                      <w:rFonts w:ascii="Cambria Math" w:eastAsia="Cambria Math" w:hAnsi="Cambria Math" w:cs="Cambria Math"/>
                    </w:rPr>
                  </m:ctrlPr>
                </m:sSubPr>
                <m:e>
                  <m:r>
                    <w:rPr>
                      <w:rFonts w:ascii="Cambria Math" w:hAnsi="Cambria Math"/>
                    </w:rPr>
                    <m:t>κ</m:t>
                  </m:r>
                </m:e>
                <m:sub>
                  <m:r>
                    <w:rPr>
                      <w:rFonts w:ascii="Cambria Math" w:eastAsia="Cambria Math" w:hAnsi="Cambria Math" w:cs="Cambria Math"/>
                    </w:rPr>
                    <m:t>I</m:t>
                  </m:r>
                </m:sub>
              </m:sSub>
            </m:oMath>
          </w:p>
        </w:tc>
        <w:tc>
          <w:tcPr>
            <w:tcW w:w="1600" w:type="dxa"/>
            <w:tcMar>
              <w:top w:w="40" w:type="dxa"/>
              <w:left w:w="80" w:type="dxa"/>
              <w:bottom w:w="40" w:type="dxa"/>
              <w:right w:w="80" w:type="dxa"/>
            </w:tcMar>
            <w:vAlign w:val="center"/>
          </w:tcPr>
          <w:p w14:paraId="7C1FFD63" w14:textId="77777777" w:rsidR="00741104" w:rsidRDefault="00741104" w:rsidP="003C20A1">
            <w:pPr>
              <w:spacing w:before="20" w:after="20"/>
              <w:jc w:val="center"/>
              <w:rPr>
                <w:rFonts w:eastAsia="Times New Roman"/>
              </w:rPr>
            </w:pPr>
            <w:r>
              <w:rPr>
                <w:rFonts w:eastAsia="Times New Roman"/>
              </w:rPr>
              <w:t>1</w:t>
            </w:r>
          </w:p>
        </w:tc>
        <w:tc>
          <w:tcPr>
            <w:tcW w:w="2199" w:type="dxa"/>
            <w:tcMar>
              <w:top w:w="40" w:type="dxa"/>
              <w:left w:w="80" w:type="dxa"/>
              <w:bottom w:w="40" w:type="dxa"/>
              <w:right w:w="80" w:type="dxa"/>
            </w:tcMar>
            <w:vAlign w:val="center"/>
          </w:tcPr>
          <w:p w14:paraId="7248B460" w14:textId="77777777" w:rsidR="00741104" w:rsidRDefault="00000000" w:rsidP="003C20A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aκ</m:t>
                    </m:r>
                  </m:e>
                  <m:sub>
                    <m:r>
                      <w:rPr>
                        <w:rFonts w:ascii="Cambria Math" w:eastAsia="Cambria Math" w:hAnsi="Cambria Math" w:cs="Cambria Math"/>
                      </w:rPr>
                      <m:t>I</m:t>
                    </m:r>
                  </m:sub>
                </m:sSub>
                <m:r>
                  <w:rPr>
                    <w:rFonts w:ascii="Cambria Math" w:eastAsia="Cambria Math" w:hAnsi="Cambria Math" w:cs="Cambria Math"/>
                  </w:rPr>
                  <m:t>+c</m:t>
                </m:r>
              </m:oMath>
            </m:oMathPara>
          </w:p>
        </w:tc>
        <w:tc>
          <w:tcPr>
            <w:tcW w:w="1350" w:type="dxa"/>
            <w:tcMar>
              <w:top w:w="40" w:type="dxa"/>
              <w:left w:w="80" w:type="dxa"/>
              <w:bottom w:w="40" w:type="dxa"/>
              <w:right w:w="80" w:type="dxa"/>
            </w:tcMar>
            <w:vAlign w:val="center"/>
          </w:tcPr>
          <w:p w14:paraId="6A3CB8FD" w14:textId="77777777" w:rsidR="00741104" w:rsidRDefault="00741104" w:rsidP="003C20A1">
            <w:pPr>
              <w:spacing w:before="20" w:after="20"/>
              <w:jc w:val="center"/>
              <w:rPr>
                <w:rFonts w:eastAsia="Times New Roman"/>
              </w:rPr>
            </w:pPr>
            <w:r>
              <w:rPr>
                <w:rFonts w:eastAsia="Times New Roman"/>
              </w:rPr>
              <w:t>1.5</w:t>
            </w:r>
          </w:p>
        </w:tc>
        <w:tc>
          <w:tcPr>
            <w:tcW w:w="1350" w:type="dxa"/>
            <w:tcMar>
              <w:top w:w="40" w:type="dxa"/>
              <w:left w:w="80" w:type="dxa"/>
              <w:bottom w:w="40" w:type="dxa"/>
              <w:right w:w="80" w:type="dxa"/>
            </w:tcMar>
            <w:vAlign w:val="center"/>
          </w:tcPr>
          <w:p w14:paraId="3691B454" w14:textId="77777777" w:rsidR="00741104" w:rsidRDefault="00741104" w:rsidP="003C20A1">
            <w:pPr>
              <w:spacing w:before="20" w:after="20"/>
              <w:jc w:val="center"/>
              <w:rPr>
                <w:rFonts w:eastAsia="Times New Roman"/>
              </w:rPr>
            </w:pPr>
            <w:r>
              <w:rPr>
                <w:rFonts w:eastAsia="Times New Roman"/>
              </w:rPr>
              <w:t>.9</w:t>
            </w:r>
          </w:p>
        </w:tc>
      </w:tr>
      <w:tr w:rsidR="00741104" w14:paraId="0F07C2F0" w14:textId="77777777" w:rsidTr="003C20A1">
        <w:tc>
          <w:tcPr>
            <w:tcW w:w="2000" w:type="dxa"/>
            <w:gridSpan w:val="2"/>
            <w:tcMar>
              <w:top w:w="40" w:type="dxa"/>
              <w:left w:w="80" w:type="dxa"/>
              <w:bottom w:w="40" w:type="dxa"/>
              <w:right w:w="80" w:type="dxa"/>
            </w:tcMar>
            <w:vAlign w:val="center"/>
          </w:tcPr>
          <w:p w14:paraId="6C9C42C2" w14:textId="77777777" w:rsidR="00741104" w:rsidRDefault="00741104" w:rsidP="003C20A1">
            <w:pPr>
              <w:spacing w:before="20" w:after="20"/>
              <w:rPr>
                <w:rFonts w:eastAsia="Times New Roman"/>
              </w:rPr>
            </w:pPr>
            <w:r>
              <w:rPr>
                <w:rFonts w:eastAsia="Times New Roman"/>
              </w:rPr>
              <w:t xml:space="preserve">Slope, </w:t>
            </w:r>
            <m:oMath>
              <m:sSub>
                <m:sSubPr>
                  <m:ctrlPr>
                    <w:rPr>
                      <w:rFonts w:ascii="Cambria Math" w:eastAsia="Cambria Math" w:hAnsi="Cambria Math" w:cs="Cambria Math"/>
                    </w:rPr>
                  </m:ctrlPr>
                </m:sSubPr>
                <m:e>
                  <m:r>
                    <w:rPr>
                      <w:rFonts w:ascii="Cambria Math" w:hAnsi="Cambria Math"/>
                    </w:rPr>
                    <m:t>κ</m:t>
                  </m:r>
                </m:e>
                <m:sub>
                  <m:r>
                    <w:rPr>
                      <w:rFonts w:ascii="Cambria Math" w:eastAsia="Cambria Math" w:hAnsi="Cambria Math" w:cs="Cambria Math"/>
                    </w:rPr>
                    <m:t>s</m:t>
                  </m:r>
                </m:sub>
              </m:sSub>
            </m:oMath>
          </w:p>
        </w:tc>
        <w:tc>
          <w:tcPr>
            <w:tcW w:w="1600" w:type="dxa"/>
            <w:tcMar>
              <w:top w:w="40" w:type="dxa"/>
              <w:left w:w="80" w:type="dxa"/>
              <w:bottom w:w="40" w:type="dxa"/>
              <w:right w:w="80" w:type="dxa"/>
            </w:tcMar>
            <w:vAlign w:val="center"/>
          </w:tcPr>
          <w:p w14:paraId="41BA08DC" w14:textId="77777777" w:rsidR="00741104" w:rsidRDefault="00741104" w:rsidP="003C20A1">
            <w:pPr>
              <w:spacing w:before="20" w:after="20"/>
              <w:jc w:val="center"/>
              <w:rPr>
                <w:rFonts w:eastAsia="Times New Roman"/>
              </w:rPr>
            </w:pPr>
            <w:r>
              <w:rPr>
                <w:rFonts w:eastAsia="Times New Roman"/>
              </w:rPr>
              <w:t>.125</w:t>
            </w:r>
          </w:p>
        </w:tc>
        <w:tc>
          <w:tcPr>
            <w:tcW w:w="2199" w:type="dxa"/>
            <w:tcMar>
              <w:top w:w="40" w:type="dxa"/>
              <w:left w:w="80" w:type="dxa"/>
              <w:bottom w:w="40" w:type="dxa"/>
              <w:right w:w="80" w:type="dxa"/>
            </w:tcMar>
            <w:vAlign w:val="center"/>
          </w:tcPr>
          <w:p w14:paraId="18F2A77B" w14:textId="77777777" w:rsidR="00741104" w:rsidRDefault="00000000" w:rsidP="003C20A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aκ</m:t>
                    </m:r>
                  </m:e>
                  <m:sub>
                    <m:r>
                      <w:rPr>
                        <w:rFonts w:ascii="Cambria Math" w:eastAsia="Cambria Math" w:hAnsi="Cambria Math" w:cs="Cambria Math"/>
                      </w:rPr>
                      <m:t>s</m:t>
                    </m:r>
                  </m:sub>
                </m:sSub>
              </m:oMath>
            </m:oMathPara>
          </w:p>
        </w:tc>
        <w:tc>
          <w:tcPr>
            <w:tcW w:w="1350" w:type="dxa"/>
            <w:tcMar>
              <w:top w:w="40" w:type="dxa"/>
              <w:left w:w="80" w:type="dxa"/>
              <w:bottom w:w="40" w:type="dxa"/>
              <w:right w:w="80" w:type="dxa"/>
            </w:tcMar>
            <w:vAlign w:val="center"/>
          </w:tcPr>
          <w:p w14:paraId="300FDF12" w14:textId="77777777" w:rsidR="00741104" w:rsidRDefault="00741104" w:rsidP="003C20A1">
            <w:pPr>
              <w:spacing w:before="20" w:after="20"/>
              <w:jc w:val="center"/>
              <w:rPr>
                <w:rFonts w:eastAsia="Times New Roman"/>
              </w:rPr>
            </w:pPr>
            <w:r>
              <w:rPr>
                <w:rFonts w:eastAsia="Times New Roman"/>
              </w:rPr>
              <w:t>.125</w:t>
            </w:r>
          </w:p>
        </w:tc>
        <w:tc>
          <w:tcPr>
            <w:tcW w:w="1350" w:type="dxa"/>
            <w:tcMar>
              <w:top w:w="40" w:type="dxa"/>
              <w:left w:w="80" w:type="dxa"/>
              <w:bottom w:w="40" w:type="dxa"/>
              <w:right w:w="80" w:type="dxa"/>
            </w:tcMar>
            <w:vAlign w:val="center"/>
          </w:tcPr>
          <w:p w14:paraId="6BED70A8" w14:textId="77777777" w:rsidR="00741104" w:rsidRDefault="00741104" w:rsidP="003C20A1">
            <w:pPr>
              <w:spacing w:before="20" w:after="20"/>
              <w:jc w:val="center"/>
              <w:rPr>
                <w:rFonts w:eastAsia="Times New Roman"/>
              </w:rPr>
            </w:pPr>
            <w:r>
              <w:rPr>
                <w:rFonts w:eastAsia="Times New Roman"/>
              </w:rPr>
              <w:t>.075</w:t>
            </w:r>
          </w:p>
        </w:tc>
      </w:tr>
      <w:tr w:rsidR="00741104" w14:paraId="7A8F5D5B" w14:textId="77777777" w:rsidTr="00741104">
        <w:tc>
          <w:tcPr>
            <w:tcW w:w="8499" w:type="dxa"/>
            <w:gridSpan w:val="6"/>
            <w:shd w:val="clear" w:color="auto" w:fill="F2F2F2"/>
            <w:tcMar>
              <w:top w:w="40" w:type="dxa"/>
              <w:left w:w="80" w:type="dxa"/>
              <w:bottom w:w="40" w:type="dxa"/>
              <w:right w:w="80" w:type="dxa"/>
            </w:tcMar>
            <w:vAlign w:val="center"/>
          </w:tcPr>
          <w:p w14:paraId="37CE25DD" w14:textId="77777777" w:rsidR="00741104" w:rsidRDefault="00741104" w:rsidP="003C20A1">
            <w:pPr>
              <w:spacing w:before="20" w:after="20"/>
              <w:rPr>
                <w:rFonts w:eastAsia="Times New Roman"/>
              </w:rPr>
            </w:pPr>
            <w:r>
              <w:rPr>
                <w:rFonts w:eastAsia="Times New Roman"/>
                <w:b/>
                <w:bCs/>
                <w:i/>
                <w:iCs/>
              </w:rPr>
              <w:t>Variance/covariance of growth intercept and slope</w:t>
            </w:r>
          </w:p>
        </w:tc>
      </w:tr>
      <w:tr w:rsidR="00741104" w14:paraId="18F3A2C1" w14:textId="77777777" w:rsidTr="00741104">
        <w:tc>
          <w:tcPr>
            <w:tcW w:w="454" w:type="dxa"/>
            <w:tcBorders>
              <w:bottom w:val="single" w:sz="4" w:space="0" w:color="auto"/>
            </w:tcBorders>
            <w:tcMar>
              <w:top w:w="40" w:type="dxa"/>
              <w:left w:w="80" w:type="dxa"/>
              <w:bottom w:w="40" w:type="dxa"/>
              <w:right w:w="80" w:type="dxa"/>
            </w:tcMar>
            <w:vAlign w:val="center"/>
          </w:tcPr>
          <w:p w14:paraId="68FD7699" w14:textId="77777777" w:rsidR="00741104" w:rsidRDefault="00741104" w:rsidP="003C20A1">
            <w:pPr>
              <w:jc w:val="center"/>
              <w:rPr>
                <w:rFonts w:eastAsia="Times New Roman"/>
              </w:rPr>
            </w:pPr>
            <m:oMathPara>
              <m:oMath>
                <m:r>
                  <w:rPr>
                    <w:rFonts w:ascii="Cambria Math" w:hAnsi="Cambria Math"/>
                  </w:rPr>
                  <m:t>Φ</m:t>
                </m:r>
              </m:oMath>
            </m:oMathPara>
          </w:p>
        </w:tc>
        <w:tc>
          <w:tcPr>
            <w:tcW w:w="1546" w:type="dxa"/>
            <w:tcBorders>
              <w:bottom w:val="single" w:sz="4" w:space="0" w:color="auto"/>
            </w:tcBorders>
            <w:vAlign w:val="center"/>
          </w:tcPr>
          <w:p w14:paraId="5EBBC63D" w14:textId="77777777" w:rsidR="00741104" w:rsidRDefault="00000000" w:rsidP="003C20A1">
            <w:pPr>
              <w:spacing w:before="20" w:after="20"/>
              <w:rPr>
                <w:rFonts w:eastAsia="Times New Roman"/>
              </w:rPr>
            </w:pPr>
            <m:oMath>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II</m:t>
                  </m:r>
                </m:sub>
              </m:sSub>
            </m:oMath>
            <w:r w:rsidR="00741104">
              <w:rPr>
                <w:rFonts w:eastAsia="Times New Roman"/>
              </w:rPr>
              <w:t xml:space="preserve">   </w:t>
            </w:r>
            <m:oMath>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IS</m:t>
                  </m:r>
                </m:sub>
              </m:sSub>
            </m:oMath>
            <w:r w:rsidR="00741104">
              <w:rPr>
                <w:rFonts w:eastAsia="Times New Roman"/>
              </w:rPr>
              <w:br/>
            </w:r>
            <m:oMath>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IS</m:t>
                  </m:r>
                </m:sub>
              </m:sSub>
            </m:oMath>
            <w:r w:rsidR="00741104">
              <w:rPr>
                <w:rFonts w:eastAsia="Times New Roman"/>
              </w:rPr>
              <w:t xml:space="preserve">   </w:t>
            </w:r>
            <m:oMath>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SS</m:t>
                  </m:r>
                </m:sub>
              </m:sSub>
            </m:oMath>
          </w:p>
        </w:tc>
        <w:tc>
          <w:tcPr>
            <w:tcW w:w="1600" w:type="dxa"/>
            <w:tcBorders>
              <w:bottom w:val="single" w:sz="4" w:space="0" w:color="auto"/>
            </w:tcBorders>
            <w:tcMar>
              <w:top w:w="40" w:type="dxa"/>
              <w:left w:w="80" w:type="dxa"/>
              <w:bottom w:w="40" w:type="dxa"/>
              <w:right w:w="80" w:type="dxa"/>
            </w:tcMar>
            <w:vAlign w:val="center"/>
          </w:tcPr>
          <w:p w14:paraId="64B0F942" w14:textId="77777777" w:rsidR="00741104" w:rsidRDefault="00741104" w:rsidP="003C20A1">
            <w:pPr>
              <w:spacing w:before="20" w:after="20"/>
              <w:jc w:val="center"/>
              <w:rPr>
                <w:rFonts w:eastAsia="Times New Roman"/>
              </w:rPr>
            </w:pPr>
            <w:r>
              <w:rPr>
                <w:rFonts w:eastAsia="Times New Roman"/>
              </w:rPr>
              <w:t>1    .18</w:t>
            </w:r>
            <w:r>
              <w:rPr>
                <w:rFonts w:eastAsia="Times New Roman"/>
              </w:rPr>
              <w:br/>
              <w:t>.18   .2025</w:t>
            </w:r>
          </w:p>
        </w:tc>
        <w:tc>
          <w:tcPr>
            <w:tcW w:w="2199" w:type="dxa"/>
            <w:tcBorders>
              <w:bottom w:val="single" w:sz="4" w:space="0" w:color="auto"/>
            </w:tcBorders>
            <w:tcMar>
              <w:top w:w="40" w:type="dxa"/>
              <w:left w:w="80" w:type="dxa"/>
              <w:bottom w:w="40" w:type="dxa"/>
              <w:right w:w="80" w:type="dxa"/>
            </w:tcMar>
            <w:vAlign w:val="center"/>
          </w:tcPr>
          <w:p w14:paraId="745756C7" w14:textId="77777777" w:rsidR="00741104" w:rsidRDefault="00000000" w:rsidP="003C20A1">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Φ </m:t>
                </m:r>
              </m:oMath>
            </m:oMathPara>
          </w:p>
        </w:tc>
        <w:tc>
          <w:tcPr>
            <w:tcW w:w="1350" w:type="dxa"/>
            <w:tcBorders>
              <w:bottom w:val="single" w:sz="4" w:space="0" w:color="auto"/>
            </w:tcBorders>
            <w:tcMar>
              <w:top w:w="40" w:type="dxa"/>
              <w:left w:w="80" w:type="dxa"/>
              <w:bottom w:w="40" w:type="dxa"/>
              <w:right w:w="80" w:type="dxa"/>
            </w:tcMar>
            <w:vAlign w:val="center"/>
          </w:tcPr>
          <w:p w14:paraId="55A90F85" w14:textId="77777777" w:rsidR="00741104" w:rsidRDefault="00741104" w:rsidP="003C20A1">
            <w:pPr>
              <w:spacing w:before="20" w:after="20"/>
              <w:jc w:val="center"/>
              <w:rPr>
                <w:rFonts w:eastAsia="Times New Roman"/>
              </w:rPr>
            </w:pPr>
            <w:r>
              <w:rPr>
                <w:rFonts w:eastAsia="Times New Roman"/>
              </w:rPr>
              <w:t>1    .18</w:t>
            </w:r>
            <w:r>
              <w:rPr>
                <w:rFonts w:eastAsia="Times New Roman"/>
              </w:rPr>
              <w:br/>
              <w:t>.18   .2025</w:t>
            </w:r>
          </w:p>
        </w:tc>
        <w:tc>
          <w:tcPr>
            <w:tcW w:w="1350" w:type="dxa"/>
            <w:tcBorders>
              <w:bottom w:val="single" w:sz="4" w:space="0" w:color="auto"/>
            </w:tcBorders>
            <w:tcMar>
              <w:top w:w="40" w:type="dxa"/>
              <w:left w:w="80" w:type="dxa"/>
              <w:bottom w:w="40" w:type="dxa"/>
              <w:right w:w="80" w:type="dxa"/>
            </w:tcMar>
            <w:vAlign w:val="center"/>
          </w:tcPr>
          <w:p w14:paraId="51C54BA4" w14:textId="77777777" w:rsidR="00741104" w:rsidRDefault="00741104" w:rsidP="003C20A1">
            <w:pPr>
              <w:spacing w:before="20" w:after="20"/>
              <w:jc w:val="center"/>
              <w:rPr>
                <w:rFonts w:eastAsia="Times New Roman"/>
              </w:rPr>
            </w:pPr>
            <w:r>
              <w:rPr>
                <w:rFonts w:eastAsia="Times New Roman"/>
              </w:rPr>
              <w:t>.36    .065</w:t>
            </w:r>
            <w:r>
              <w:rPr>
                <w:rFonts w:eastAsia="Times New Roman"/>
              </w:rPr>
              <w:br/>
              <w:t>.</w:t>
            </w:r>
            <w:proofErr w:type="gramStart"/>
            <w:r>
              <w:rPr>
                <w:rFonts w:eastAsia="Times New Roman"/>
              </w:rPr>
              <w:t>065  .</w:t>
            </w:r>
            <w:proofErr w:type="gramEnd"/>
            <w:r>
              <w:rPr>
                <w:rFonts w:eastAsia="Times New Roman"/>
              </w:rPr>
              <w:t>073</w:t>
            </w:r>
          </w:p>
        </w:tc>
      </w:tr>
      <w:tr w:rsidR="00741104" w14:paraId="52DB64BF" w14:textId="77777777" w:rsidTr="00741104">
        <w:tc>
          <w:tcPr>
            <w:tcW w:w="8499" w:type="dxa"/>
            <w:gridSpan w:val="6"/>
            <w:tcBorders>
              <w:top w:val="single" w:sz="4" w:space="0" w:color="auto"/>
            </w:tcBorders>
            <w:tcMar>
              <w:top w:w="40" w:type="dxa"/>
              <w:left w:w="80" w:type="dxa"/>
              <w:bottom w:w="40" w:type="dxa"/>
              <w:right w:w="80" w:type="dxa"/>
            </w:tcMar>
            <w:vAlign w:val="center"/>
          </w:tcPr>
          <w:p w14:paraId="464B53D1" w14:textId="22F098F3" w:rsidR="00741104" w:rsidRPr="00741104" w:rsidRDefault="00741104" w:rsidP="00741104">
            <w:pPr>
              <w:pStyle w:val="BodyText"/>
              <w:spacing w:before="0" w:after="0" w:line="360" w:lineRule="auto"/>
            </w:pPr>
            <w:r w:rsidRPr="00741104">
              <w:rPr>
                <w:i/>
                <w:iCs/>
                <w:sz w:val="22"/>
                <w:szCs w:val="22"/>
              </w:rPr>
              <w:t>Note.</w:t>
            </w:r>
            <w:r w:rsidRPr="00741104">
              <w:rPr>
                <w:sz w:val="22"/>
                <w:szCs w:val="22"/>
              </w:rPr>
              <w:t xml:space="preserve"> Generating loadings and intercepts are invariant across the </w:t>
            </w:r>
            <m:oMath>
              <m:r>
                <w:rPr>
                  <w:rFonts w:ascii="Cambria Math" w:hAnsi="Cambria Math"/>
                  <w:sz w:val="22"/>
                  <w:szCs w:val="22"/>
                </w:rPr>
                <m:t>T</m:t>
              </m:r>
            </m:oMath>
            <w:r w:rsidRPr="00741104">
              <w:rPr>
                <w:sz w:val="22"/>
                <w:szCs w:val="22"/>
              </w:rPr>
              <w:t xml:space="preserve"> waves. The scaling factor </w:t>
            </w:r>
            <m:oMath>
              <m:r>
                <w:rPr>
                  <w:rFonts w:ascii="Cambria Math" w:hAnsi="Cambria Math"/>
                  <w:sz w:val="22"/>
                  <w:szCs w:val="22"/>
                </w:rPr>
                <m:t>a</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oMath>
            <w:r w:rsidRPr="00741104">
              <w:rPr>
                <w:sz w:val="22"/>
                <w:szCs w:val="22"/>
              </w:rPr>
              <w:t xml:space="preserve"> and location shift </w:t>
            </w:r>
            <m:oMath>
              <m:r>
                <w:rPr>
                  <w:rFonts w:ascii="Cambria Math" w:hAnsi="Cambria Math"/>
                  <w:sz w:val="22"/>
                  <w:szCs w:val="22"/>
                </w:rPr>
                <m:t>c</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oMath>
            <w:r w:rsidRPr="00741104">
              <w:rPr>
                <w:sz w:val="22"/>
                <w:szCs w:val="22"/>
              </w:rPr>
              <w:t xml:space="preserve"> map the generating growth factors to the EC-fitted metric via an affine transformation. Additionally, the residual variances are also fixed as invariant for</w:t>
            </w:r>
          </w:p>
        </w:tc>
      </w:tr>
    </w:tbl>
    <w:p w14:paraId="0E3E1906" w14:textId="77777777" w:rsidR="00E93E3E" w:rsidRDefault="00000000" w:rsidP="00501C34">
      <w:r>
        <w:br w:type="page"/>
      </w:r>
    </w:p>
    <w:p w14:paraId="7F52A5EC" w14:textId="77777777" w:rsidR="00E93E3E" w:rsidRDefault="00000000" w:rsidP="00501C34">
      <w:pPr>
        <w:pStyle w:val="BodyText"/>
        <w:spacing w:before="0" w:after="0"/>
      </w:pPr>
      <w:r>
        <w:rPr>
          <w:noProof/>
        </w:rPr>
        <w:lastRenderedPageBreak/>
        <w:drawing>
          <wp:inline distT="0" distB="0" distL="0" distR="0" wp14:anchorId="40FE868E" wp14:editId="7F7CD531">
            <wp:extent cx="5334000" cy="272913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000.png"/>
                    <pic:cNvPicPr>
                      <a:picLocks noChangeAspect="1" noChangeArrowheads="1"/>
                    </pic:cNvPicPr>
                  </pic:nvPicPr>
                  <pic:blipFill>
                    <a:blip r:embed="rId8"/>
                    <a:stretch>
                      <a:fillRect/>
                    </a:stretch>
                  </pic:blipFill>
                  <pic:spPr bwMode="auto">
                    <a:xfrm>
                      <a:off x="0" y="0"/>
                      <a:ext cx="5334000" cy="2729130"/>
                    </a:xfrm>
                    <a:prstGeom prst="rect">
                      <a:avLst/>
                    </a:prstGeom>
                    <a:noFill/>
                    <a:ln w="9525">
                      <a:noFill/>
                      <a:headEnd/>
                      <a:tailEnd/>
                    </a:ln>
                  </pic:spPr>
                </pic:pic>
              </a:graphicData>
            </a:graphic>
          </wp:inline>
        </w:drawing>
      </w:r>
    </w:p>
    <w:p w14:paraId="20B453C6" w14:textId="2C9F2E64" w:rsidR="00751095" w:rsidRDefault="00000000" w:rsidP="00513D4C">
      <w:pPr>
        <w:pStyle w:val="BodyText"/>
        <w:spacing w:before="240" w:after="0" w:line="360" w:lineRule="auto"/>
      </w:pPr>
      <w:r>
        <w:rPr>
          <w:b/>
          <w:bCs/>
        </w:rPr>
        <w:t>Figure 1.</w:t>
      </w:r>
      <w:r>
        <w:t xml:space="preserve"> Path diagram of the data-generating second-order latent growth curve model (2-LGCM) for the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I</m:t>
        </m:r>
        <m:r>
          <m:rPr>
            <m:sty m:val="p"/>
          </m:rPr>
          <w:rPr>
            <w:rFonts w:ascii="Cambria Math" w:hAnsi="Cambria Math"/>
          </w:rPr>
          <m:t>=</m:t>
        </m:r>
        <m:r>
          <w:rPr>
            <w:rFonts w:ascii="Cambria Math" w:hAnsi="Cambria Math"/>
          </w:rPr>
          <m:t>5</m:t>
        </m:r>
      </m:oMath>
      <w:r>
        <w:t xml:space="preserve"> design. Figure and mathematical expressions are adapted from Grimm et al. (2016) and Yang et al. (2021).</w:t>
      </w:r>
      <w:bookmarkEnd w:id="10"/>
      <w:bookmarkEnd w:id="13"/>
    </w:p>
    <w:p w14:paraId="71C37011" w14:textId="77777777" w:rsidR="00751095" w:rsidRDefault="00751095">
      <w:r>
        <w:br w:type="page"/>
      </w:r>
    </w:p>
    <w:p w14:paraId="0C4D3F32" w14:textId="29A5A606" w:rsidR="00751095" w:rsidRDefault="00C9317E" w:rsidP="00751095">
      <w:pPr>
        <w:pStyle w:val="BodyText"/>
        <w:spacing w:before="240" w:after="0" w:line="360" w:lineRule="auto"/>
        <w:rPr>
          <w:b/>
          <w:bCs/>
        </w:rPr>
      </w:pPr>
      <w:r>
        <w:rPr>
          <w:b/>
          <w:bCs/>
          <w:noProof/>
        </w:rPr>
        <w:lastRenderedPageBreak/>
        <w:drawing>
          <wp:inline distT="0" distB="0" distL="0" distR="0" wp14:anchorId="52DEF464" wp14:editId="19A8445B">
            <wp:extent cx="5614670" cy="6238240"/>
            <wp:effectExtent l="0" t="0" r="0" b="0"/>
            <wp:docPr id="636199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9819" name="Picture 636199819"/>
                    <pic:cNvPicPr/>
                  </pic:nvPicPr>
                  <pic:blipFill>
                    <a:blip r:embed="rId9">
                      <a:extLst>
                        <a:ext uri="{28A0092B-C50C-407E-A947-70E740481C1C}">
                          <a14:useLocalDpi xmlns:a14="http://schemas.microsoft.com/office/drawing/2010/main" val="0"/>
                        </a:ext>
                      </a:extLst>
                    </a:blip>
                    <a:stretch>
                      <a:fillRect/>
                    </a:stretch>
                  </pic:blipFill>
                  <pic:spPr>
                    <a:xfrm>
                      <a:off x="0" y="0"/>
                      <a:ext cx="5614670" cy="6238240"/>
                    </a:xfrm>
                    <a:prstGeom prst="rect">
                      <a:avLst/>
                    </a:prstGeom>
                  </pic:spPr>
                </pic:pic>
              </a:graphicData>
            </a:graphic>
          </wp:inline>
        </w:drawing>
      </w:r>
    </w:p>
    <w:p w14:paraId="7BA3986A" w14:textId="17885694" w:rsidR="00751095" w:rsidRDefault="00751095" w:rsidP="00751095">
      <w:pPr>
        <w:pStyle w:val="BodyText"/>
        <w:spacing w:before="240" w:after="0" w:line="360" w:lineRule="auto"/>
      </w:pPr>
      <w:r>
        <w:rPr>
          <w:b/>
          <w:bCs/>
        </w:rPr>
        <w:t xml:space="preserve">Figure </w:t>
      </w:r>
      <w:r>
        <w:rPr>
          <w:rFonts w:hint="eastAsia"/>
          <w:b/>
          <w:bCs/>
          <w:lang w:eastAsia="ko-KR"/>
        </w:rPr>
        <w:t>2</w:t>
      </w:r>
      <w:r>
        <w:rPr>
          <w:b/>
          <w:bCs/>
        </w:rPr>
        <w:t>.</w:t>
      </w:r>
      <w:r>
        <w:t xml:space="preserve"> </w:t>
      </w:r>
      <w:r w:rsidR="00C9317E">
        <w:t>Admissible Solution Rates by CU Specification</w:t>
      </w:r>
    </w:p>
    <w:p w14:paraId="6C57466B" w14:textId="1E2653BD" w:rsidR="00C9317E" w:rsidRPr="00C9317E" w:rsidRDefault="00C9317E" w:rsidP="00751095">
      <w:pPr>
        <w:pStyle w:val="BodyText"/>
        <w:spacing w:before="240" w:after="0" w:line="360" w:lineRule="auto"/>
        <w:rPr>
          <w:rFonts w:hint="eastAsia"/>
          <w:i/>
          <w:iCs/>
          <w:lang w:eastAsia="ko-KR"/>
        </w:rPr>
      </w:pPr>
      <w:r w:rsidRPr="00C9317E">
        <w:rPr>
          <w:i/>
          <w:iCs/>
          <w:lang w:eastAsia="ko-KR"/>
        </w:rPr>
        <w:t>Note.</w:t>
      </w:r>
      <w:r>
        <w:rPr>
          <w:i/>
          <w:iCs/>
          <w:lang w:eastAsia="ko-KR"/>
        </w:rPr>
        <w:t xml:space="preserve"> </w:t>
      </w:r>
      <w:r>
        <w:t>Admissible solution</w:t>
      </w:r>
      <w:r w:rsidR="00ED03D9">
        <w:t xml:space="preserve"> rates are</w:t>
      </w:r>
      <w:r>
        <w:t xml:space="preserve"> </w:t>
      </w:r>
      <w:r w:rsidR="00ED03D9">
        <w:t xml:space="preserve">proportion </w:t>
      </w:r>
      <w:r>
        <w:t>that converged without negative variance estimates or standardized correlations exceeding 1 in absolute value. Panels are blocked by CU specification (</w:t>
      </w:r>
      <m:oMath>
        <m:r>
          <w:rPr>
            <w:rFonts w:ascii="Cambria Math" w:hAnsi="Cambria Math"/>
          </w:rPr>
          <m:t>T=5</m:t>
        </m:r>
      </m:oMath>
      <w:r>
        <w:t xml:space="preserve"> above, </w:t>
      </w:r>
      <m:oMath>
        <m:r>
          <w:rPr>
            <w:rFonts w:ascii="Cambria Math" w:hAnsi="Cambria Math"/>
          </w:rPr>
          <m:t>T=3</m:t>
        </m:r>
      </m:oMath>
      <w:r>
        <w:t xml:space="preserve"> below). At </w:t>
      </w:r>
      <m:oMath>
        <m:r>
          <w:rPr>
            <w:rFonts w:ascii="Cambria Math" w:hAnsi="Cambria Math"/>
          </w:rPr>
          <m:t>T=3</m:t>
        </m:r>
      </m:oMath>
      <w:r>
        <w:t xml:space="preserve">, CU modeled and CU overfit are omitted </w:t>
      </w:r>
      <w:r w:rsidR="00ED03D9">
        <w:t>to avoid</w:t>
      </w:r>
      <w:r>
        <w:t xml:space="preserve"> under-</w:t>
      </w:r>
      <w:r w:rsidR="00ED03D9">
        <w:t>identification</w:t>
      </w:r>
      <w:r>
        <w:t>.</w:t>
      </w:r>
      <w:r>
        <w:t xml:space="preserve"> </w:t>
      </w:r>
      <w:proofErr w:type="spellStart"/>
      <w:r>
        <w:t>T</w:t>
      </w:r>
      <w:r w:rsidR="00ED03D9">
        <w:t>he</w:t>
      </w:r>
      <w:r>
        <w:t xml:space="preserve"> dashed</w:t>
      </w:r>
      <w:proofErr w:type="spellEnd"/>
      <w:r>
        <w:t xml:space="preserve"> line marks the .90 level.</w:t>
      </w:r>
    </w:p>
    <w:p w14:paraId="21614BA1" w14:textId="016899DD" w:rsidR="00751095" w:rsidRDefault="00751095">
      <w:r>
        <w:br w:type="page"/>
      </w:r>
    </w:p>
    <w:p w14:paraId="3BC8046A" w14:textId="07C90B4B" w:rsidR="00751095" w:rsidRDefault="00751095" w:rsidP="00751095">
      <w:pPr>
        <w:pStyle w:val="BodyText"/>
        <w:spacing w:before="240" w:after="0" w:line="360" w:lineRule="auto"/>
        <w:rPr>
          <w:b/>
          <w:bCs/>
        </w:rPr>
      </w:pPr>
    </w:p>
    <w:p w14:paraId="602CDCE3" w14:textId="16794BA7" w:rsidR="00751095" w:rsidRDefault="00751095" w:rsidP="00751095">
      <w:pPr>
        <w:pStyle w:val="BodyText"/>
        <w:spacing w:before="240" w:after="0" w:line="360" w:lineRule="auto"/>
      </w:pPr>
      <w:r>
        <w:rPr>
          <w:b/>
          <w:bCs/>
        </w:rPr>
        <w:t xml:space="preserve">Figure </w:t>
      </w:r>
      <w:r>
        <w:rPr>
          <w:rFonts w:hint="eastAsia"/>
          <w:b/>
          <w:bCs/>
          <w:lang w:eastAsia="ko-KR"/>
        </w:rPr>
        <w:t>3</w:t>
      </w:r>
      <w:r>
        <w:rPr>
          <w:b/>
          <w:bCs/>
        </w:rPr>
        <w:t>.</w:t>
      </w:r>
      <w:r>
        <w:t xml:space="preserve"> Path diagram of the data-generating second-order latent growth curve model (2-LGCM) for the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I</m:t>
        </m:r>
        <m:r>
          <m:rPr>
            <m:sty m:val="p"/>
          </m:rPr>
          <w:rPr>
            <w:rFonts w:ascii="Cambria Math" w:hAnsi="Cambria Math"/>
          </w:rPr>
          <m:t>=</m:t>
        </m:r>
        <m:r>
          <w:rPr>
            <w:rFonts w:ascii="Cambria Math" w:hAnsi="Cambria Math"/>
          </w:rPr>
          <m:t>5</m:t>
        </m:r>
      </m:oMath>
      <w:r>
        <w:t xml:space="preserve"> design. Figure and mathematical expressions are adapted from Grimm et al. (2016) and Yang et al. (2021).</w:t>
      </w:r>
    </w:p>
    <w:p w14:paraId="5B89BB53" w14:textId="573D2800" w:rsidR="00751095" w:rsidRDefault="001D5B26" w:rsidP="00751095">
      <w:pPr>
        <w:pStyle w:val="BodyText"/>
        <w:spacing w:before="240" w:after="0" w:line="360" w:lineRule="auto"/>
        <w:rPr>
          <w:b/>
          <w:bCs/>
        </w:rPr>
      </w:pPr>
      <w:r>
        <w:rPr>
          <w:b/>
          <w:bCs/>
          <w:noProof/>
        </w:rPr>
        <w:lastRenderedPageBreak/>
        <w:drawing>
          <wp:inline distT="0" distB="0" distL="0" distR="0" wp14:anchorId="60347C36" wp14:editId="29FDD21D">
            <wp:extent cx="5614670" cy="7123430"/>
            <wp:effectExtent l="0" t="0" r="0" b="1270"/>
            <wp:docPr id="187457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853" name="Picture 187457853"/>
                    <pic:cNvPicPr/>
                  </pic:nvPicPr>
                  <pic:blipFill>
                    <a:blip r:embed="rId10">
                      <a:extLst>
                        <a:ext uri="{28A0092B-C50C-407E-A947-70E740481C1C}">
                          <a14:useLocalDpi xmlns:a14="http://schemas.microsoft.com/office/drawing/2010/main" val="0"/>
                        </a:ext>
                      </a:extLst>
                    </a:blip>
                    <a:stretch>
                      <a:fillRect/>
                    </a:stretch>
                  </pic:blipFill>
                  <pic:spPr>
                    <a:xfrm>
                      <a:off x="0" y="0"/>
                      <a:ext cx="5614670" cy="7123430"/>
                    </a:xfrm>
                    <a:prstGeom prst="rect">
                      <a:avLst/>
                    </a:prstGeom>
                  </pic:spPr>
                </pic:pic>
              </a:graphicData>
            </a:graphic>
          </wp:inline>
        </w:drawing>
      </w:r>
    </w:p>
    <w:p w14:paraId="0E824975" w14:textId="4BAD89BB" w:rsidR="00751095" w:rsidRDefault="00751095" w:rsidP="00751095">
      <w:pPr>
        <w:pStyle w:val="BodyText"/>
        <w:spacing w:before="240" w:after="0" w:line="360" w:lineRule="auto"/>
      </w:pPr>
      <w:r>
        <w:rPr>
          <w:b/>
          <w:bCs/>
        </w:rPr>
        <w:t xml:space="preserve">Figure </w:t>
      </w:r>
      <w:r>
        <w:rPr>
          <w:rFonts w:hint="eastAsia"/>
          <w:b/>
          <w:bCs/>
          <w:lang w:eastAsia="ko-KR"/>
        </w:rPr>
        <w:t>4</w:t>
      </w:r>
      <w:r>
        <w:rPr>
          <w:b/>
          <w:bCs/>
        </w:rPr>
        <w:t>.</w:t>
      </w:r>
      <w:r>
        <w:t xml:space="preserve"> Path diagram of the data-generating second-order latent growth curve model (2-LGCM) for the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I</m:t>
        </m:r>
        <m:r>
          <m:rPr>
            <m:sty m:val="p"/>
          </m:rPr>
          <w:rPr>
            <w:rFonts w:ascii="Cambria Math" w:hAnsi="Cambria Math"/>
          </w:rPr>
          <m:t>=</m:t>
        </m:r>
        <m:r>
          <w:rPr>
            <w:rFonts w:ascii="Cambria Math" w:hAnsi="Cambria Math"/>
          </w:rPr>
          <m:t>5</m:t>
        </m:r>
      </m:oMath>
      <w:r>
        <w:t xml:space="preserve"> design. Figure and mathematical expressions are adapted from Grimm et al. (2016) and Yang et al. (2021).</w:t>
      </w:r>
    </w:p>
    <w:p w14:paraId="35144E21" w14:textId="7494A726" w:rsidR="001D5B26" w:rsidRDefault="001D5B26" w:rsidP="001D5B26">
      <w:pPr>
        <w:pStyle w:val="BodyText"/>
        <w:spacing w:before="240" w:after="0" w:line="360" w:lineRule="auto"/>
        <w:rPr>
          <w:b/>
          <w:bCs/>
        </w:rPr>
      </w:pPr>
      <w:r>
        <w:rPr>
          <w:b/>
          <w:bCs/>
          <w:noProof/>
        </w:rPr>
        <w:lastRenderedPageBreak/>
        <w:drawing>
          <wp:inline distT="0" distB="0" distL="0" distR="0" wp14:anchorId="05DD5452" wp14:editId="4E23C4BB">
            <wp:extent cx="5614670" cy="7123430"/>
            <wp:effectExtent l="0" t="0" r="0" b="1270"/>
            <wp:docPr id="189446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69684" name="Picture 1894469684"/>
                    <pic:cNvPicPr/>
                  </pic:nvPicPr>
                  <pic:blipFill>
                    <a:blip r:embed="rId11">
                      <a:extLst>
                        <a:ext uri="{28A0092B-C50C-407E-A947-70E740481C1C}">
                          <a14:useLocalDpi xmlns:a14="http://schemas.microsoft.com/office/drawing/2010/main" val="0"/>
                        </a:ext>
                      </a:extLst>
                    </a:blip>
                    <a:stretch>
                      <a:fillRect/>
                    </a:stretch>
                  </pic:blipFill>
                  <pic:spPr>
                    <a:xfrm>
                      <a:off x="0" y="0"/>
                      <a:ext cx="5614670" cy="7123430"/>
                    </a:xfrm>
                    <a:prstGeom prst="rect">
                      <a:avLst/>
                    </a:prstGeom>
                  </pic:spPr>
                </pic:pic>
              </a:graphicData>
            </a:graphic>
          </wp:inline>
        </w:drawing>
      </w:r>
    </w:p>
    <w:p w14:paraId="212B1DBB" w14:textId="7AC00F35" w:rsidR="001D5B26" w:rsidRDefault="001D5B26" w:rsidP="001D5B26">
      <w:pPr>
        <w:pStyle w:val="BodyText"/>
        <w:spacing w:before="240" w:after="0" w:line="360" w:lineRule="auto"/>
      </w:pPr>
      <w:r>
        <w:rPr>
          <w:b/>
          <w:bCs/>
        </w:rPr>
        <w:t xml:space="preserve">Figure </w:t>
      </w:r>
      <w:r>
        <w:rPr>
          <w:b/>
          <w:bCs/>
          <w:lang w:eastAsia="ko-KR"/>
        </w:rPr>
        <w:t>5</w:t>
      </w:r>
      <w:r>
        <w:rPr>
          <w:b/>
          <w:bCs/>
        </w:rPr>
        <w:t>.</w:t>
      </w:r>
      <w:r>
        <w:t xml:space="preserve"> Path diagram of the data-generating second-order latent growth curve model (2-LGCM) for the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I</m:t>
        </m:r>
        <m:r>
          <m:rPr>
            <m:sty m:val="p"/>
          </m:rPr>
          <w:rPr>
            <w:rFonts w:ascii="Cambria Math" w:hAnsi="Cambria Math"/>
          </w:rPr>
          <m:t>=</m:t>
        </m:r>
        <m:r>
          <w:rPr>
            <w:rFonts w:ascii="Cambria Math" w:hAnsi="Cambria Math"/>
          </w:rPr>
          <m:t>5</m:t>
        </m:r>
      </m:oMath>
      <w:r>
        <w:t xml:space="preserve"> design. Figure and mathematical expressions are adapted from Grimm et al. (2016) and Yang et al. (2021).</w:t>
      </w:r>
    </w:p>
    <w:p w14:paraId="472D752C" w14:textId="77777777" w:rsidR="001D5B26" w:rsidRDefault="001D5B26" w:rsidP="001D5B26">
      <w:pPr>
        <w:pStyle w:val="BodyText"/>
        <w:spacing w:before="240" w:after="0" w:line="360" w:lineRule="auto"/>
        <w:rPr>
          <w:b/>
          <w:bCs/>
          <w:lang w:eastAsia="ko-KR"/>
        </w:rPr>
      </w:pPr>
    </w:p>
    <w:p w14:paraId="32C6FB77" w14:textId="650335A2" w:rsidR="001D5B26" w:rsidRDefault="001D5B26" w:rsidP="001D5B26">
      <w:pPr>
        <w:pStyle w:val="BodyText"/>
        <w:spacing w:before="240" w:after="0" w:line="360" w:lineRule="auto"/>
      </w:pPr>
      <w:r>
        <w:rPr>
          <w:b/>
          <w:bCs/>
        </w:rPr>
        <w:t xml:space="preserve">Figure </w:t>
      </w:r>
      <w:r>
        <w:rPr>
          <w:b/>
          <w:bCs/>
          <w:lang w:eastAsia="ko-KR"/>
        </w:rPr>
        <w:t>6</w:t>
      </w:r>
      <w:r>
        <w:rPr>
          <w:b/>
          <w:bCs/>
        </w:rPr>
        <w:t>.</w:t>
      </w:r>
      <w:r>
        <w:t xml:space="preserve"> Path diagram of the data-generating second-order latent growth curve model (2-LGCM) for the </w:t>
      </w:r>
      <m:oMath>
        <m:r>
          <w:rPr>
            <w:rFonts w:ascii="Cambria Math" w:hAnsi="Cambria Math"/>
          </w:rPr>
          <m:t>T</m:t>
        </m:r>
        <m:r>
          <m:rPr>
            <m:sty m:val="p"/>
          </m:rPr>
          <w:rPr>
            <w:rFonts w:ascii="Cambria Math" w:hAnsi="Cambria Math"/>
          </w:rPr>
          <m:t>=</m:t>
        </m:r>
        <m:r>
          <w:rPr>
            <w:rFonts w:ascii="Cambria Math" w:hAnsi="Cambria Math"/>
          </w:rPr>
          <m:t>5</m:t>
        </m:r>
      </m:oMath>
      <w:r>
        <w:t xml:space="preserve">, </w:t>
      </w:r>
      <m:oMath>
        <m:r>
          <w:rPr>
            <w:rFonts w:ascii="Cambria Math" w:hAnsi="Cambria Math"/>
          </w:rPr>
          <m:t>I</m:t>
        </m:r>
        <m:r>
          <m:rPr>
            <m:sty m:val="p"/>
          </m:rPr>
          <w:rPr>
            <w:rFonts w:ascii="Cambria Math" w:hAnsi="Cambria Math"/>
          </w:rPr>
          <m:t>=</m:t>
        </m:r>
        <m:r>
          <w:rPr>
            <w:rFonts w:ascii="Cambria Math" w:hAnsi="Cambria Math"/>
          </w:rPr>
          <m:t>5</m:t>
        </m:r>
      </m:oMath>
      <w:r>
        <w:t xml:space="preserve"> design. Figure and mathematical expressions are adapted from Grimm et al. (2016) and Yang et al. (2021).</w:t>
      </w:r>
    </w:p>
    <w:p w14:paraId="24E375C0" w14:textId="77777777" w:rsidR="00E93E3E" w:rsidRDefault="00E93E3E" w:rsidP="00513D4C">
      <w:pPr>
        <w:pStyle w:val="BodyText"/>
        <w:spacing w:before="240" w:after="0" w:line="360" w:lineRule="auto"/>
      </w:pPr>
    </w:p>
    <w:sectPr w:rsidR="00E93E3E" w:rsidSect="00ED7A9E">
      <w:pgSz w:w="12240" w:h="15840"/>
      <w:pgMar w:top="1411" w:right="1699" w:bottom="1411" w:left="1699" w:header="706" w:footer="706"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F2DF4" w14:textId="77777777" w:rsidR="005112EA" w:rsidRDefault="005112EA">
      <w:r>
        <w:separator/>
      </w:r>
    </w:p>
  </w:endnote>
  <w:endnote w:type="continuationSeparator" w:id="0">
    <w:p w14:paraId="2E1143F5" w14:textId="77777777" w:rsidR="005112EA" w:rsidRDefault="00511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F810" w14:textId="77777777" w:rsidR="005112EA" w:rsidRDefault="005112EA">
      <w:r>
        <w:separator/>
      </w:r>
    </w:p>
  </w:footnote>
  <w:footnote w:type="continuationSeparator" w:id="0">
    <w:p w14:paraId="55481C52" w14:textId="77777777" w:rsidR="005112EA" w:rsidRDefault="00511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EA97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12022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19291115">
    <w:abstractNumId w:val="0"/>
  </w:num>
  <w:num w:numId="2" w16cid:durableId="1225288702">
    <w:abstractNumId w:val="1"/>
  </w:num>
  <w:num w:numId="3" w16cid:durableId="986596202">
    <w:abstractNumId w:val="1"/>
  </w:num>
  <w:num w:numId="4" w16cid:durableId="1775635906">
    <w:abstractNumId w:val="1"/>
  </w:num>
  <w:num w:numId="5" w16cid:durableId="570190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3E"/>
    <w:rsid w:val="0000062C"/>
    <w:rsid w:val="000110A9"/>
    <w:rsid w:val="00013139"/>
    <w:rsid w:val="000215E8"/>
    <w:rsid w:val="00030ACE"/>
    <w:rsid w:val="00037AF0"/>
    <w:rsid w:val="00052CB1"/>
    <w:rsid w:val="00056B8B"/>
    <w:rsid w:val="000732AC"/>
    <w:rsid w:val="00083CFF"/>
    <w:rsid w:val="000A04D7"/>
    <w:rsid w:val="000B6C8F"/>
    <w:rsid w:val="000B71DA"/>
    <w:rsid w:val="000C1955"/>
    <w:rsid w:val="000C3FF1"/>
    <w:rsid w:val="000D2E7C"/>
    <w:rsid w:val="000D3239"/>
    <w:rsid w:val="000E4402"/>
    <w:rsid w:val="000E67DB"/>
    <w:rsid w:val="000F63DC"/>
    <w:rsid w:val="00103D0C"/>
    <w:rsid w:val="001135A5"/>
    <w:rsid w:val="0012114E"/>
    <w:rsid w:val="00123108"/>
    <w:rsid w:val="00143500"/>
    <w:rsid w:val="00143693"/>
    <w:rsid w:val="00147818"/>
    <w:rsid w:val="00153AA9"/>
    <w:rsid w:val="0016086E"/>
    <w:rsid w:val="001630F7"/>
    <w:rsid w:val="00191E67"/>
    <w:rsid w:val="001A3032"/>
    <w:rsid w:val="001A4C99"/>
    <w:rsid w:val="001B2DE0"/>
    <w:rsid w:val="001C0868"/>
    <w:rsid w:val="001D0086"/>
    <w:rsid w:val="001D1A45"/>
    <w:rsid w:val="001D5B26"/>
    <w:rsid w:val="001E0C7E"/>
    <w:rsid w:val="001F0C7A"/>
    <w:rsid w:val="001F1784"/>
    <w:rsid w:val="00202154"/>
    <w:rsid w:val="00220576"/>
    <w:rsid w:val="00222B7F"/>
    <w:rsid w:val="0024572C"/>
    <w:rsid w:val="002479CB"/>
    <w:rsid w:val="0028218D"/>
    <w:rsid w:val="002B074D"/>
    <w:rsid w:val="002E0373"/>
    <w:rsid w:val="002E0C99"/>
    <w:rsid w:val="002F1187"/>
    <w:rsid w:val="00327B4C"/>
    <w:rsid w:val="003353A1"/>
    <w:rsid w:val="00335639"/>
    <w:rsid w:val="00335907"/>
    <w:rsid w:val="00360955"/>
    <w:rsid w:val="003674D0"/>
    <w:rsid w:val="0037280C"/>
    <w:rsid w:val="00373B89"/>
    <w:rsid w:val="0038155C"/>
    <w:rsid w:val="003A6F49"/>
    <w:rsid w:val="003A7DF8"/>
    <w:rsid w:val="003B027B"/>
    <w:rsid w:val="003C4073"/>
    <w:rsid w:val="003D4C02"/>
    <w:rsid w:val="003E3463"/>
    <w:rsid w:val="003F757F"/>
    <w:rsid w:val="00406213"/>
    <w:rsid w:val="0040743F"/>
    <w:rsid w:val="0042683A"/>
    <w:rsid w:val="00427484"/>
    <w:rsid w:val="00455DF9"/>
    <w:rsid w:val="00457A72"/>
    <w:rsid w:val="00466A30"/>
    <w:rsid w:val="00475ADB"/>
    <w:rsid w:val="004803CB"/>
    <w:rsid w:val="00481E08"/>
    <w:rsid w:val="0048577B"/>
    <w:rsid w:val="00490DE1"/>
    <w:rsid w:val="004A1971"/>
    <w:rsid w:val="004A369A"/>
    <w:rsid w:val="004B1346"/>
    <w:rsid w:val="004B6EE6"/>
    <w:rsid w:val="004C340E"/>
    <w:rsid w:val="004C6075"/>
    <w:rsid w:val="004C6A32"/>
    <w:rsid w:val="004D0106"/>
    <w:rsid w:val="004E21C4"/>
    <w:rsid w:val="00501C34"/>
    <w:rsid w:val="00502285"/>
    <w:rsid w:val="00507BE2"/>
    <w:rsid w:val="005112EA"/>
    <w:rsid w:val="00513D4C"/>
    <w:rsid w:val="00514578"/>
    <w:rsid w:val="005148CE"/>
    <w:rsid w:val="00522B4C"/>
    <w:rsid w:val="005265FA"/>
    <w:rsid w:val="00527AFE"/>
    <w:rsid w:val="00531BBD"/>
    <w:rsid w:val="005418E5"/>
    <w:rsid w:val="0054421E"/>
    <w:rsid w:val="005534A6"/>
    <w:rsid w:val="00577470"/>
    <w:rsid w:val="005A7836"/>
    <w:rsid w:val="005B5905"/>
    <w:rsid w:val="005E6339"/>
    <w:rsid w:val="005F50A3"/>
    <w:rsid w:val="00617216"/>
    <w:rsid w:val="0063548E"/>
    <w:rsid w:val="00651660"/>
    <w:rsid w:val="00654D3E"/>
    <w:rsid w:val="00664039"/>
    <w:rsid w:val="00674F4B"/>
    <w:rsid w:val="00675FD1"/>
    <w:rsid w:val="00680038"/>
    <w:rsid w:val="00680237"/>
    <w:rsid w:val="0068072F"/>
    <w:rsid w:val="00696EDF"/>
    <w:rsid w:val="006A5BF8"/>
    <w:rsid w:val="006B0180"/>
    <w:rsid w:val="006B47F0"/>
    <w:rsid w:val="006B7632"/>
    <w:rsid w:val="006D5862"/>
    <w:rsid w:val="006D6282"/>
    <w:rsid w:val="006D7EAF"/>
    <w:rsid w:val="006E0255"/>
    <w:rsid w:val="006E4EBD"/>
    <w:rsid w:val="00706C57"/>
    <w:rsid w:val="00714579"/>
    <w:rsid w:val="007170CF"/>
    <w:rsid w:val="00723C85"/>
    <w:rsid w:val="00741104"/>
    <w:rsid w:val="00746A1C"/>
    <w:rsid w:val="00751095"/>
    <w:rsid w:val="00753850"/>
    <w:rsid w:val="00757E15"/>
    <w:rsid w:val="00776772"/>
    <w:rsid w:val="0078631C"/>
    <w:rsid w:val="00792A5B"/>
    <w:rsid w:val="00792D82"/>
    <w:rsid w:val="00795C8C"/>
    <w:rsid w:val="007C1C41"/>
    <w:rsid w:val="007C29EE"/>
    <w:rsid w:val="007D634F"/>
    <w:rsid w:val="007F7049"/>
    <w:rsid w:val="00803280"/>
    <w:rsid w:val="00803350"/>
    <w:rsid w:val="008115CF"/>
    <w:rsid w:val="00842FFA"/>
    <w:rsid w:val="008448A4"/>
    <w:rsid w:val="00846357"/>
    <w:rsid w:val="00855AED"/>
    <w:rsid w:val="008566BC"/>
    <w:rsid w:val="0085723C"/>
    <w:rsid w:val="008660EC"/>
    <w:rsid w:val="00881344"/>
    <w:rsid w:val="008967F4"/>
    <w:rsid w:val="008B224A"/>
    <w:rsid w:val="008B5A6B"/>
    <w:rsid w:val="008C0304"/>
    <w:rsid w:val="008C39FF"/>
    <w:rsid w:val="008D057E"/>
    <w:rsid w:val="008F15F4"/>
    <w:rsid w:val="00915E1F"/>
    <w:rsid w:val="00917B2F"/>
    <w:rsid w:val="00927E72"/>
    <w:rsid w:val="009344E8"/>
    <w:rsid w:val="00941C77"/>
    <w:rsid w:val="0095176C"/>
    <w:rsid w:val="00952E9B"/>
    <w:rsid w:val="009902EC"/>
    <w:rsid w:val="009A014E"/>
    <w:rsid w:val="009A22CF"/>
    <w:rsid w:val="009A6FEB"/>
    <w:rsid w:val="009E7FCF"/>
    <w:rsid w:val="00A1537F"/>
    <w:rsid w:val="00A16115"/>
    <w:rsid w:val="00A25646"/>
    <w:rsid w:val="00A3312D"/>
    <w:rsid w:val="00A4095D"/>
    <w:rsid w:val="00A537DE"/>
    <w:rsid w:val="00A56437"/>
    <w:rsid w:val="00A6499D"/>
    <w:rsid w:val="00A77EA0"/>
    <w:rsid w:val="00A81C12"/>
    <w:rsid w:val="00A83121"/>
    <w:rsid w:val="00A92D10"/>
    <w:rsid w:val="00A93724"/>
    <w:rsid w:val="00AA0501"/>
    <w:rsid w:val="00AD7317"/>
    <w:rsid w:val="00AD7DC4"/>
    <w:rsid w:val="00AE030B"/>
    <w:rsid w:val="00AE2AAC"/>
    <w:rsid w:val="00AF1094"/>
    <w:rsid w:val="00B037C8"/>
    <w:rsid w:val="00B13BE0"/>
    <w:rsid w:val="00B15ECF"/>
    <w:rsid w:val="00B26F62"/>
    <w:rsid w:val="00B40F8A"/>
    <w:rsid w:val="00B4212B"/>
    <w:rsid w:val="00B45C64"/>
    <w:rsid w:val="00B63792"/>
    <w:rsid w:val="00B702B8"/>
    <w:rsid w:val="00B92CCA"/>
    <w:rsid w:val="00BA0EC8"/>
    <w:rsid w:val="00BA7E5D"/>
    <w:rsid w:val="00BB1C76"/>
    <w:rsid w:val="00BB359B"/>
    <w:rsid w:val="00BC45F6"/>
    <w:rsid w:val="00BD26F1"/>
    <w:rsid w:val="00BE3085"/>
    <w:rsid w:val="00BE7472"/>
    <w:rsid w:val="00BF00C0"/>
    <w:rsid w:val="00BF763F"/>
    <w:rsid w:val="00C11B01"/>
    <w:rsid w:val="00C25F13"/>
    <w:rsid w:val="00C31267"/>
    <w:rsid w:val="00C359C9"/>
    <w:rsid w:val="00C35FF3"/>
    <w:rsid w:val="00C41F40"/>
    <w:rsid w:val="00C51F32"/>
    <w:rsid w:val="00C53952"/>
    <w:rsid w:val="00C71E56"/>
    <w:rsid w:val="00C72AE4"/>
    <w:rsid w:val="00C763DE"/>
    <w:rsid w:val="00C80F0C"/>
    <w:rsid w:val="00C87183"/>
    <w:rsid w:val="00C9317E"/>
    <w:rsid w:val="00CA3F83"/>
    <w:rsid w:val="00CA43C4"/>
    <w:rsid w:val="00CC6131"/>
    <w:rsid w:val="00CC6E73"/>
    <w:rsid w:val="00CD10AF"/>
    <w:rsid w:val="00CD407A"/>
    <w:rsid w:val="00CD4E91"/>
    <w:rsid w:val="00CD75C4"/>
    <w:rsid w:val="00CE0910"/>
    <w:rsid w:val="00CE22FB"/>
    <w:rsid w:val="00D00646"/>
    <w:rsid w:val="00D22F2D"/>
    <w:rsid w:val="00D23162"/>
    <w:rsid w:val="00D23A2D"/>
    <w:rsid w:val="00D404DE"/>
    <w:rsid w:val="00D45E38"/>
    <w:rsid w:val="00D54843"/>
    <w:rsid w:val="00D578A1"/>
    <w:rsid w:val="00D94E90"/>
    <w:rsid w:val="00DA044E"/>
    <w:rsid w:val="00DA2837"/>
    <w:rsid w:val="00DA4932"/>
    <w:rsid w:val="00DD2C3F"/>
    <w:rsid w:val="00DE6CAD"/>
    <w:rsid w:val="00DE773D"/>
    <w:rsid w:val="00DE7EA6"/>
    <w:rsid w:val="00DF4A7D"/>
    <w:rsid w:val="00E01F8D"/>
    <w:rsid w:val="00E05328"/>
    <w:rsid w:val="00E1657F"/>
    <w:rsid w:val="00E27EA8"/>
    <w:rsid w:val="00E37CEB"/>
    <w:rsid w:val="00E42E8E"/>
    <w:rsid w:val="00E62B47"/>
    <w:rsid w:val="00E652DE"/>
    <w:rsid w:val="00E7591E"/>
    <w:rsid w:val="00E85538"/>
    <w:rsid w:val="00E93E3E"/>
    <w:rsid w:val="00EA6270"/>
    <w:rsid w:val="00EB1403"/>
    <w:rsid w:val="00EB2584"/>
    <w:rsid w:val="00EB7ED9"/>
    <w:rsid w:val="00EC507A"/>
    <w:rsid w:val="00ED03D9"/>
    <w:rsid w:val="00ED7A9E"/>
    <w:rsid w:val="00EE490D"/>
    <w:rsid w:val="00EE6393"/>
    <w:rsid w:val="00F12257"/>
    <w:rsid w:val="00F125C8"/>
    <w:rsid w:val="00F257B2"/>
    <w:rsid w:val="00F514E5"/>
    <w:rsid w:val="00F55B26"/>
    <w:rsid w:val="00F62D48"/>
    <w:rsid w:val="00F66249"/>
    <w:rsid w:val="00F7620E"/>
    <w:rsid w:val="00F80F23"/>
    <w:rsid w:val="00F851C5"/>
    <w:rsid w:val="00F877FE"/>
    <w:rsid w:val="00F93259"/>
    <w:rsid w:val="00FA2664"/>
    <w:rsid w:val="00FA4805"/>
    <w:rsid w:val="00FC0C13"/>
    <w:rsid w:val="00FC52C5"/>
    <w:rsid w:val="00FC71EC"/>
    <w:rsid w:val="00FE2C86"/>
    <w:rsid w:val="00FE6495"/>
    <w:rsid w:val="00FE7D47"/>
    <w:rsid w:val="00FF4EB6"/>
    <w:rsid w:val="00FF7DD7"/>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E02D"/>
  <w15:docId w15:val="{3E05B2E9-E57A-8245-BAA0-9ECB8573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sz w:val="24"/>
        <w:szCs w:val="24"/>
        <w:lang w:val="en-US" w:eastAsia="en-US" w:bidi="ar-SA"/>
      </w:rPr>
    </w:rPrDefault>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2AAC"/>
  </w:style>
  <w:style w:type="paragraph" w:styleId="Heading1">
    <w:name w:val="heading 1"/>
    <w:basedOn w:val="Normal"/>
    <w:next w:val="BodyText"/>
    <w:uiPriority w:val="9"/>
    <w:qFormat/>
    <w:pPr>
      <w:keepNext/>
      <w:keepLines/>
      <w:spacing w:before="480"/>
      <w:outlineLvl w:val="0"/>
    </w:pPr>
    <w:rPr>
      <w:rFonts w:eastAsia="Times New Roman"/>
      <w:b/>
      <w:bCs/>
      <w:color w:val="000000"/>
    </w:rPr>
  </w:style>
  <w:style w:type="paragraph" w:styleId="Heading2">
    <w:name w:val="heading 2"/>
    <w:basedOn w:val="Normal"/>
    <w:next w:val="BodyText"/>
    <w:uiPriority w:val="9"/>
    <w:unhideWhenUsed/>
    <w:qFormat/>
    <w:pPr>
      <w:keepNext/>
      <w:keepLines/>
      <w:spacing w:before="200"/>
      <w:outlineLvl w:val="1"/>
    </w:pPr>
    <w:rPr>
      <w:rFonts w:eastAsia="Times New Roman"/>
      <w:i/>
      <w:iCs/>
      <w:color w:val="000000"/>
    </w:rPr>
  </w:style>
  <w:style w:type="paragraph" w:styleId="Heading3">
    <w:name w:val="heading 3"/>
    <w:basedOn w:val="Normal"/>
    <w:next w:val="BodyText"/>
    <w:uiPriority w:val="9"/>
    <w:unhideWhenUsed/>
    <w:qFormat/>
    <w:pPr>
      <w:keepNext/>
      <w:keepLines/>
      <w:spacing w:before="200"/>
      <w:outlineLvl w:val="2"/>
    </w:pPr>
    <w:rPr>
      <w:rFonts w:eastAsia="Times New Roman"/>
      <w:b/>
      <w:bCs/>
      <w:color w:val="000000"/>
    </w:rPr>
  </w:style>
  <w:style w:type="paragraph" w:styleId="Heading4">
    <w:name w:val="heading 4"/>
    <w:basedOn w:val="Normal"/>
    <w:next w:val="BodyText"/>
    <w:uiPriority w:val="9"/>
    <w:unhideWhenUsed/>
    <w:qFormat/>
    <w:pPr>
      <w:keepNext/>
      <w:keepLines/>
      <w:spacing w:before="200"/>
      <w:outlineLvl w:val="3"/>
    </w:pPr>
    <w:rPr>
      <w:rFonts w:eastAsia="Times New Roman"/>
      <w:bCs/>
      <w:i/>
      <w:color w:val="000000"/>
    </w:rPr>
  </w:style>
  <w:style w:type="paragraph" w:styleId="Heading5">
    <w:name w:val="heading 5"/>
    <w:basedOn w:val="Normal"/>
    <w:next w:val="BodyText"/>
    <w:uiPriority w:val="9"/>
    <w:unhideWhenUsed/>
    <w:qFormat/>
    <w:pPr>
      <w:keepNext/>
      <w:keepLines/>
      <w:spacing w:before="200"/>
      <w:outlineLvl w:val="4"/>
    </w:pPr>
    <w:rPr>
      <w:rFonts w:eastAsia="Times New Roman"/>
      <w:iCs/>
      <w:color w:val="000000"/>
    </w:rPr>
  </w:style>
  <w:style w:type="paragraph" w:styleId="Heading6">
    <w:name w:val="heading 6"/>
    <w:basedOn w:val="Normal"/>
    <w:next w:val="BodyText"/>
    <w:uiPriority w:val="9"/>
    <w:unhideWhenUsed/>
    <w:qFormat/>
    <w:pPr>
      <w:keepNext/>
      <w:keepLines/>
      <w:spacing w:before="200"/>
      <w:outlineLvl w:val="5"/>
    </w:pPr>
    <w:rPr>
      <w:rFonts w:eastAsia="Times New Roman"/>
      <w:color w:val="000000"/>
    </w:rPr>
  </w:style>
  <w:style w:type="paragraph" w:styleId="Heading7">
    <w:name w:val="heading 7"/>
    <w:basedOn w:val="Normal"/>
    <w:next w:val="BodyText"/>
    <w:uiPriority w:val="9"/>
    <w:unhideWhenUsed/>
    <w:qFormat/>
    <w:pPr>
      <w:keepNext/>
      <w:keepLines/>
      <w:spacing w:before="200"/>
      <w:outlineLvl w:val="6"/>
    </w:pPr>
    <w:rPr>
      <w:rFonts w:eastAsia="Times New Roman"/>
      <w:color w:val="000000"/>
    </w:rPr>
  </w:style>
  <w:style w:type="paragraph" w:styleId="Heading8">
    <w:name w:val="heading 8"/>
    <w:basedOn w:val="Normal"/>
    <w:next w:val="BodyText"/>
    <w:uiPriority w:val="9"/>
    <w:unhideWhenUsed/>
    <w:qFormat/>
    <w:pPr>
      <w:keepNext/>
      <w:keepLines/>
      <w:spacing w:before="200"/>
      <w:outlineLvl w:val="7"/>
    </w:pPr>
    <w:rPr>
      <w:rFonts w:eastAsia="Times New Roman"/>
      <w:color w:val="000000"/>
    </w:rPr>
  </w:style>
  <w:style w:type="paragraph" w:styleId="Heading9">
    <w:name w:val="heading 9"/>
    <w:basedOn w:val="Normal"/>
    <w:next w:val="BodyText"/>
    <w:uiPriority w:val="9"/>
    <w:unhideWhenUsed/>
    <w:qFormat/>
    <w:pPr>
      <w:keepNext/>
      <w:keepLines/>
      <w:spacing w:before="200"/>
      <w:outlineLvl w:val="8"/>
    </w:pPr>
    <w:rPr>
      <w:rFonts w:eastAsia="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imes New Roman"/>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28218D"/>
    <w:rPr>
      <w:sz w:val="16"/>
      <w:szCs w:val="16"/>
    </w:rPr>
  </w:style>
  <w:style w:type="paragraph" w:styleId="CommentText">
    <w:name w:val="annotation text"/>
    <w:basedOn w:val="Normal"/>
    <w:link w:val="CommentTextChar"/>
    <w:rsid w:val="0028218D"/>
    <w:rPr>
      <w:sz w:val="20"/>
      <w:szCs w:val="20"/>
    </w:rPr>
  </w:style>
  <w:style w:type="character" w:customStyle="1" w:styleId="CommentTextChar">
    <w:name w:val="Comment Text Char"/>
    <w:basedOn w:val="DefaultParagraphFont"/>
    <w:link w:val="CommentText"/>
    <w:rsid w:val="0028218D"/>
    <w:rPr>
      <w:sz w:val="20"/>
      <w:szCs w:val="20"/>
    </w:rPr>
  </w:style>
  <w:style w:type="paragraph" w:styleId="CommentSubject">
    <w:name w:val="annotation subject"/>
    <w:basedOn w:val="CommentText"/>
    <w:next w:val="CommentText"/>
    <w:link w:val="CommentSubjectChar"/>
    <w:rsid w:val="0028218D"/>
    <w:rPr>
      <w:b/>
      <w:bCs/>
    </w:rPr>
  </w:style>
  <w:style w:type="character" w:customStyle="1" w:styleId="CommentSubjectChar">
    <w:name w:val="Comment Subject Char"/>
    <w:basedOn w:val="CommentTextChar"/>
    <w:link w:val="CommentSubject"/>
    <w:rsid w:val="0028218D"/>
    <w:rPr>
      <w:b/>
      <w:bCs/>
      <w:sz w:val="20"/>
      <w:szCs w:val="20"/>
    </w:rPr>
  </w:style>
  <w:style w:type="character" w:styleId="PlaceholderText">
    <w:name w:val="Placeholder Text"/>
    <w:basedOn w:val="DefaultParagraphFont"/>
    <w:rsid w:val="0028218D"/>
    <w:rPr>
      <w:color w:val="666666"/>
    </w:rPr>
  </w:style>
  <w:style w:type="table" w:styleId="TableGrid">
    <w:name w:val="Table Grid"/>
    <w:basedOn w:val="TableNormal"/>
    <w:rsid w:val="00AD7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A93724"/>
    <w:rPr>
      <w:rFonts w:ascii="Courier New" w:eastAsia="Times New Roman" w:hAnsi="Courier New" w:cs="Courier New"/>
      <w:sz w:val="20"/>
      <w:szCs w:val="20"/>
    </w:rPr>
  </w:style>
  <w:style w:type="character" w:styleId="LineNumber">
    <w:name w:val="line number"/>
    <w:basedOn w:val="DefaultParagraphFont"/>
    <w:rsid w:val="002E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4AECB-3590-F145-ABF4-E249F569D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30</Pages>
  <Words>9131</Words>
  <Characters>52048</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Kim, Hahyeong</cp:lastModifiedBy>
  <cp:revision>205</cp:revision>
  <dcterms:created xsi:type="dcterms:W3CDTF">2026-06-11T02:38:00Z</dcterms:created>
  <dcterms:modified xsi:type="dcterms:W3CDTF">2026-06-23T19:18:00Z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id="Ui0JPf7Q"/&gt;&lt;style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