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120"/>
      </w:pPr>
      <w:r>
        <w:t>证据图裁判</w:t>
        <w:br/>
        <w:t>以规则图与证据图统一药学临床考核的角色行为控制与学生表现评价</w:t>
      </w:r>
    </w:p>
    <w:p>
      <w:pPr>
        <w:spacing w:line="280" w:lineRule="exact" w:after="120"/>
      </w:pPr>
      <w:r>
        <w:rPr>
          <w:sz w:val="21"/>
        </w:rPr>
        <w:t>与张教授讨论的研究思路　香港中文大学　2026年10月7日</w:t>
      </w:r>
    </w:p>
    <w:p>
      <w:pPr>
        <w:pStyle w:val="Heading1"/>
      </w:pPr>
      <w:r>
        <w:t>首先验证现有人工智能平台是否适合学院使用</w:t>
      </w:r>
    </w:p>
    <w:p>
      <w:pPr>
        <w:spacing w:line="300" w:lineRule="exact" w:after="120"/>
      </w:pPr>
      <w:r>
        <w:rPr>
          <w:sz w:val="22"/>
        </w:rPr>
        <w:t>我们已依据学院提供的四个病例、角色要求、评分表和教师意见，开发了药学人工智能临床考核平台。首先希望确认这套平台是否满足学院的练习要求。因此，需要从学院过去如何评价人工临床考核是否成功出发，讨论哪些已有指标和标准可以用于人工智能考站。[1]</w:t>
      </w:r>
    </w:p>
    <w:p>
      <w:pPr>
        <w:spacing w:line="300" w:lineRule="exact" w:after="120"/>
      </w:pPr>
      <w:r>
        <w:rPr>
          <w:sz w:val="22"/>
        </w:rPr>
        <w:t>在此基础上，再对同一平台中的两种人工智能方法作独立比较：甲方案在咨询时控制角色，结束后再评价学生；乙方案增加“证据图裁判”，把角色权限与评分要求写成可执行规则图，并用证据图记录实际对话。比较要回答：这种改进能否提升角色一致性和评价准确性。</w:t>
      </w:r>
    </w:p>
    <w:p>
      <w:pPr>
        <w:pStyle w:val="Heading1"/>
      </w:pPr>
      <w:r>
        <w:t>希望与学院共同确认的问题</w:t>
      </w:r>
    </w:p>
    <w:p>
      <w:pPr>
        <w:spacing w:line="300" w:lineRule="exact" w:after="120"/>
      </w:pPr>
      <w:r>
        <w:rPr>
          <w:sz w:val="22"/>
        </w:rPr>
        <w:t>1　过去采用哪些指标判断临床考核成功，哪些标准最重要，可接受范围是什么？其中哪些可以直接用于人工智能练习？</w:t>
      </w:r>
    </w:p>
    <w:p>
      <w:pPr>
        <w:spacing w:line="300" w:lineRule="exact" w:after="120"/>
      </w:pPr>
      <w:r>
        <w:rPr>
          <w:sz w:val="22"/>
        </w:rPr>
        <w:t>2　已提供的资料或既有结果中，哪些能作为可比基准？若没有可比的人工表现数据，达到学院要求不能写成优于人工考核。</w:t>
      </w:r>
    </w:p>
    <w:p>
      <w:pPr>
        <w:spacing w:line="300" w:lineRule="exact" w:after="120"/>
      </w:pPr>
      <w:r>
        <w:rPr>
          <w:sz w:val="22"/>
        </w:rPr>
        <w:t>3　平台主要用于形成性练习、考核辅助，还是两者都用？哪些结果必须由教师复核？</w:t>
      </w:r>
    </w:p>
    <w:p>
      <w:pPr>
        <w:spacing w:line="300" w:lineRule="exact" w:after="120"/>
      </w:pPr>
      <w:r>
        <w:rPr>
          <w:sz w:val="22"/>
        </w:rPr>
        <w:t>4　能否组织六至八名学生并行参加约90分钟的活动，并由一至两位教师协助确认评价标准、在活动后审核匿名记录？</w:t>
      </w:r>
    </w:p>
    <w:p>
      <w:pPr>
        <w:pStyle w:val="Heading1"/>
      </w:pPr>
      <w:r>
        <w:t>在同一平台上比较什么改进</w:t>
      </w:r>
    </w:p>
    <w:p>
      <w:pPr>
        <w:spacing w:line="300" w:lineRule="exact" w:after="120"/>
      </w:pPr>
      <w:r>
        <w:rPr>
          <w:sz w:val="22"/>
        </w:rPr>
        <w:t>甲方案参考 MedSimAI 的结构化角色提示，以及咨询后逐项评分并引用对话原话的做法，保留其信息披露约束。两种方案共用病例、评分表、模型与参数、语音服务及药学知识。共用知识图谱属于本项目的药学适配，不归为 MedSimAI 原有组件。[2, 3]</w:t>
      </w:r>
    </w:p>
    <w:p>
      <w:pPr>
        <w:spacing w:line="300" w:lineRule="exact" w:after="120"/>
      </w:pPr>
      <w:r>
        <w:rPr>
          <w:sz w:val="22"/>
        </w:rPr>
        <w:t>已有图结构评分细则方法可执行评分图，LogiDebrief 可核查对话时序。证据图裁判把这些思路用于正在进行的咨询：一次授权提示只有实际发出后，才同时改变后续角色权限和评分后果。模型负责匹配语言与规则，程序执行已确认规则；不确定的证据仍交教师复核。[4, 5]</w:t>
      </w:r>
    </w:p>
    <w:p>
      <w:pPr>
        <w:spacing w:line="280" w:lineRule="exact" w:after="120"/>
      </w:pPr>
      <w:r>
        <w:rPr>
          <w:sz w:val="20"/>
        </w:rPr>
        <w:t>主要依据与原文：</w:t>
      </w:r>
      <w:hyperlink r:id="rId6">
        <w:r>
          <w:rPr>
            <w:color w:val="205B88"/>
            <w:sz w:val="21"/>
            <w:u w:val="single"/>
          </w:rPr>
          <w:t>[1] ASPE 2017</w:t>
        </w:r>
      </w:hyperlink>
      <w:r>
        <w:t>；</w:t>
      </w:r>
      <w:hyperlink r:id="rId7">
        <w:r>
          <w:rPr>
            <w:color w:val="205B88"/>
            <w:sz w:val="21"/>
            <w:u w:val="single"/>
          </w:rPr>
          <w:t>[2] MedSimAI 2026</w:t>
        </w:r>
      </w:hyperlink>
      <w:r>
        <w:t>；</w:t>
      </w:r>
      <w:hyperlink r:id="rId8">
        <w:r>
          <w:rPr>
            <w:color w:val="205B88"/>
            <w:sz w:val="21"/>
            <w:u w:val="single"/>
          </w:rPr>
          <w:t>[3] AIPatient 2026</w:t>
        </w:r>
      </w:hyperlink>
      <w:r>
        <w:t>；</w:t>
      </w:r>
      <w:hyperlink r:id="rId9">
        <w:r>
          <w:rPr>
            <w:color w:val="205B88"/>
            <w:sz w:val="21"/>
            <w:u w:val="single"/>
          </w:rPr>
          <w:t>[4] GSR 2026</w:t>
        </w:r>
      </w:hyperlink>
      <w:r>
        <w:t>；</w:t>
      </w:r>
      <w:hyperlink r:id="rId10">
        <w:r>
          <w:rPr>
            <w:color w:val="205B88"/>
            <w:sz w:val="21"/>
            <w:u w:val="single"/>
          </w:rPr>
          <w:t>[5] LogiDebrief 2025</w:t>
        </w:r>
      </w:hyperlink>
    </w:p>
    <w:p>
      <w:pPr>
        <w:pStyle w:val="Heading1"/>
        <w:pageBreakBefore/>
      </w:pPr>
      <w:r>
        <w:t>共用的平台与证据图裁判增加的部分</w:t>
      </w:r>
    </w:p>
    <w:p>
      <w:pPr>
        <w:spacing w:line="240" w:lineRule="auto" w:after="80"/>
      </w:pPr>
      <w:r>
        <w:drawing>
          <wp:inline>
            <wp:extent cx="5943600" cy="5286676"/>
            <wp:docPr id="1" name="Picture 1"/>
            <wp:cNvGraphicFramePr>
              <a:graphicFrameLocks noChangeAspect="1"/>
            </wp:cNvGraphicFramePr>
            <a:graphic>
              <a:graphicData uri="http://schemas.openxmlformats.org/drawingml/2006/picture">
                <pic:pic>
                  <pic:nvPicPr>
                    <pic:cNvPr id="0" name="shared_architecture.png"/>
                    <pic:cNvPicPr/>
                  </pic:nvPicPr>
                  <pic:blipFill>
                    <a:blip r:embed="rId15"/>
                    <a:stretch>
                      <a:fillRect/>
                    </a:stretch>
                  </pic:blipFill>
                  <pic:spPr>
                    <a:xfrm>
                      <a:off x="0" y="0"/>
                      <a:ext cx="5943600" cy="5286676"/>
                    </a:xfrm>
                    <a:prstGeom prst="rect"/>
                  </pic:spPr>
                </pic:pic>
              </a:graphicData>
            </a:graphic>
          </wp:inline>
        </w:drawing>
      </w:r>
    </w:p>
    <w:p>
      <w:pPr>
        <w:spacing w:line="280" w:lineRule="exact" w:after="120"/>
      </w:pPr>
      <w:r>
        <w:rPr>
          <w:sz w:val="20"/>
        </w:rPr>
        <w:t>图1　蓝色为共用组件，绿色为新增部分。只有实际发出的角色行为才能改变后续权限和评分后果；配对技术测试中，两种方法获得相同的对话与资料。</w:t>
      </w:r>
    </w:p>
    <w:p>
      <w:pPr>
        <w:pStyle w:val="Heading1"/>
      </w:pPr>
      <w:r>
        <w:t>一个例子与两个验证指标</w:t>
      </w:r>
    </w:p>
    <w:p>
      <w:pPr>
        <w:spacing w:line="280" w:lineRule="exact" w:after="120"/>
      </w:pPr>
      <w:r>
        <w:rPr>
          <w:sz w:val="21"/>
        </w:rPr>
        <w:t>甲癣站中，学生遗漏伊曲康唑与阿托伐他汀的相互作用，经授权提示后答对。证据图裁判认可正确回答，同时保留学院规定的 C+ 等级上限；只写好、未实际发出的提示不触发上限。甲方案也可能答对，实验检验的是乙方案是否更可靠。</w:t>
      </w:r>
    </w:p>
    <w:p>
      <w:pPr>
        <w:spacing w:line="280" w:lineRule="exact" w:after="120"/>
      </w:pPr>
      <w:r>
        <w:rPr>
          <w:sz w:val="21"/>
        </w:rPr>
        <w:t>角色一致性＝全部适用要求均满足的回复数÷审核回复数。五类要求为回答完整性、病例事实、角色权限、来源与时机、授权提示。评价准确性＝完成状态及全部适用后果、纠正和复核要求均与教师一致的决策数÷审核决策数。教师先独立判断，再与系统比较；没有有效输出记为失败。</w:t>
      </w:r>
    </w:p>
    <w:p>
      <w:pPr>
        <w:pStyle w:val="Heading1"/>
        <w:pageBreakBefore/>
      </w:pPr>
      <w:r>
        <w:t>收集多少数据与90分钟活动如何进行</w:t>
      </w:r>
    </w:p>
    <w:p>
      <w:pPr>
        <w:spacing w:line="280" w:lineRule="exact" w:after="120"/>
      </w:pPr>
      <w:r>
        <w:rPr>
          <w:sz w:val="21"/>
        </w:rPr>
        <w:t>六名或八名学生各完成四个不同病例，两个用甲方案、两个用乙方案，尽量平衡方法顺序。学生只拿正常任务单，不拿答案脚本。共收集24场或32场真实咨询，主要验证可行性，不能据此保证证明乙更优；同一学生的多场记录在分析时保持关联。[6, 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016"/>
        <w:gridCol w:w="2016"/>
        <w:gridCol w:w="3024"/>
      </w:tblGrid>
      <w:tr>
        <w:trPr>
          <w:cantSplit/>
          <w:tblHeader/>
        </w:trPr>
        <w:tc>
          <w:tcPr>
            <w:tcW w:type="dxa" w:w="2304"/>
            <w:vAlign w:val="center"/>
            <w:tcMar>
              <w:top w:w="95" w:type="dxa"/>
              <w:bottom w:w="95" w:type="dxa"/>
              <w:left w:w="90" w:type="dxa"/>
              <w:right w:w="90" w:type="dxa"/>
            </w:tcMar>
            <w:shd w:fill="E9EEF2"/>
          </w:tcPr>
          <w:p>
            <w:pPr>
              <w:spacing w:after="0" w:line="252" w:lineRule="auto"/>
            </w:pPr>
            <w:r>
              <w:rPr>
                <w:rFonts w:ascii="微软雅黑" w:hAnsi="微软雅黑"/>
                <w:b/>
                <w:sz w:val="21"/>
              </w:rPr>
              <w:t>考站</w:t>
            </w:r>
          </w:p>
        </w:tc>
        <w:tc>
          <w:tcPr>
            <w:tcW w:type="dxa" w:w="2016"/>
            <w:vAlign w:val="center"/>
            <w:tcMar>
              <w:top w:w="95" w:type="dxa"/>
              <w:bottom w:w="95" w:type="dxa"/>
              <w:left w:w="90" w:type="dxa"/>
              <w:right w:w="90" w:type="dxa"/>
            </w:tcMar>
            <w:shd w:fill="E9EEF2"/>
          </w:tcPr>
          <w:p>
            <w:pPr>
              <w:spacing w:after="0" w:line="252" w:lineRule="auto"/>
              <w:jc w:val="center"/>
            </w:pPr>
            <w:r>
              <w:rPr>
                <w:rFonts w:ascii="微软雅黑" w:hAnsi="微软雅黑"/>
                <w:b/>
                <w:sz w:val="21"/>
              </w:rPr>
              <w:t>甲方案真人咨询</w:t>
              <w:br/>
              <w:t>6人／8人</w:t>
            </w:r>
          </w:p>
        </w:tc>
        <w:tc>
          <w:tcPr>
            <w:tcW w:type="dxa" w:w="2016"/>
            <w:vAlign w:val="center"/>
            <w:tcMar>
              <w:top w:w="95" w:type="dxa"/>
              <w:bottom w:w="95" w:type="dxa"/>
              <w:left w:w="90" w:type="dxa"/>
              <w:right w:w="90" w:type="dxa"/>
            </w:tcMar>
            <w:shd w:fill="E9EEF2"/>
          </w:tcPr>
          <w:p>
            <w:pPr>
              <w:spacing w:after="0" w:line="252" w:lineRule="auto"/>
              <w:jc w:val="center"/>
            </w:pPr>
            <w:r>
              <w:rPr>
                <w:rFonts w:ascii="微软雅黑" w:hAnsi="微软雅黑"/>
                <w:b/>
                <w:sz w:val="21"/>
              </w:rPr>
              <w:t>乙方案真人咨询</w:t>
              <w:br/>
              <w:t>6人／8人</w:t>
            </w:r>
          </w:p>
        </w:tc>
        <w:tc>
          <w:tcPr>
            <w:tcW w:type="dxa" w:w="3024"/>
            <w:vAlign w:val="center"/>
            <w:tcMar>
              <w:top w:w="95" w:type="dxa"/>
              <w:bottom w:w="95" w:type="dxa"/>
              <w:left w:w="90" w:type="dxa"/>
              <w:right w:w="90" w:type="dxa"/>
            </w:tcMar>
            <w:shd w:fill="E9EEF2"/>
          </w:tcPr>
          <w:p>
            <w:pPr>
              <w:spacing w:after="0" w:line="252" w:lineRule="auto"/>
              <w:jc w:val="center"/>
            </w:pPr>
            <w:r>
              <w:rPr>
                <w:rFonts w:ascii="微软雅黑" w:hAnsi="微软雅黑"/>
                <w:b/>
                <w:sz w:val="21"/>
              </w:rPr>
              <w:t>另外准备的</w:t>
              <w:br/>
              <w:t>技术测试题</w:t>
            </w:r>
          </w:p>
        </w:tc>
      </w:tr>
      <w:tr>
        <w:trPr>
          <w:cantSplit/>
        </w:trPr>
        <w:tc>
          <w:tcPr>
            <w:tcW w:type="dxa" w:w="2304"/>
            <w:vAlign w:val="center"/>
            <w:tcMar>
              <w:top w:w="95" w:type="dxa"/>
              <w:bottom w:w="95" w:type="dxa"/>
              <w:left w:w="90" w:type="dxa"/>
              <w:right w:w="90" w:type="dxa"/>
            </w:tcMar>
          </w:tcPr>
          <w:p>
            <w:pPr>
              <w:spacing w:after="0" w:line="252" w:lineRule="auto"/>
            </w:pPr>
            <w:r>
              <w:rPr>
                <w:rFonts w:ascii="微软雅黑" w:hAnsi="微软雅黑"/>
                <w:b w:val="0"/>
                <w:sz w:val="21"/>
              </w:rPr>
              <w:t>甲癣</w:t>
            </w:r>
          </w:p>
        </w:tc>
        <w:tc>
          <w:tcPr>
            <w:tcW w:type="dxa" w:w="2016"/>
            <w:vAlign w:val="center"/>
            <w:tcMar>
              <w:top w:w="95" w:type="dxa"/>
              <w:bottom w:w="95" w:type="dxa"/>
              <w:left w:w="90" w:type="dxa"/>
              <w:right w:w="90" w:type="dxa"/>
            </w:tcMar>
          </w:tcPr>
          <w:p>
            <w:pPr>
              <w:spacing w:after="0" w:line="252" w:lineRule="auto"/>
              <w:jc w:val="center"/>
            </w:pPr>
            <w:r>
              <w:rPr>
                <w:rFonts w:ascii="微软雅黑" w:hAnsi="微软雅黑"/>
                <w:b w:val="0"/>
                <w:sz w:val="21"/>
              </w:rPr>
              <w:t>3／4场</w:t>
            </w:r>
          </w:p>
        </w:tc>
        <w:tc>
          <w:tcPr>
            <w:tcW w:type="dxa" w:w="2016"/>
            <w:vAlign w:val="center"/>
            <w:tcMar>
              <w:top w:w="95" w:type="dxa"/>
              <w:bottom w:w="95" w:type="dxa"/>
              <w:left w:w="90" w:type="dxa"/>
              <w:right w:w="90" w:type="dxa"/>
            </w:tcMar>
          </w:tcPr>
          <w:p>
            <w:pPr>
              <w:spacing w:after="0" w:line="252" w:lineRule="auto"/>
              <w:jc w:val="center"/>
            </w:pPr>
            <w:r>
              <w:rPr>
                <w:rFonts w:ascii="微软雅黑" w:hAnsi="微软雅黑"/>
                <w:b w:val="0"/>
                <w:sz w:val="21"/>
              </w:rPr>
              <w:t>3／4场</w:t>
            </w:r>
          </w:p>
        </w:tc>
        <w:tc>
          <w:tcPr>
            <w:tcW w:type="dxa" w:w="3024"/>
            <w:vAlign w:val="center"/>
            <w:tcMar>
              <w:top w:w="95" w:type="dxa"/>
              <w:bottom w:w="95" w:type="dxa"/>
              <w:left w:w="90" w:type="dxa"/>
              <w:right w:w="90" w:type="dxa"/>
            </w:tcMar>
          </w:tcPr>
          <w:p>
            <w:pPr>
              <w:spacing w:after="0" w:line="252" w:lineRule="auto"/>
              <w:jc w:val="center"/>
            </w:pPr>
            <w:r>
              <w:rPr>
                <w:rFonts w:ascii="微软雅黑" w:hAnsi="微软雅黑"/>
                <w:b w:val="0"/>
                <w:sz w:val="21"/>
              </w:rPr>
              <w:t>30道</w:t>
            </w:r>
          </w:p>
        </w:tc>
      </w:tr>
      <w:tr>
        <w:trPr>
          <w:cantSplit/>
        </w:trPr>
        <w:tc>
          <w:tcPr>
            <w:tcW w:type="dxa" w:w="2304"/>
            <w:vAlign w:val="center"/>
            <w:tcMar>
              <w:top w:w="95" w:type="dxa"/>
              <w:bottom w:w="95" w:type="dxa"/>
              <w:left w:w="90" w:type="dxa"/>
              <w:right w:w="90" w:type="dxa"/>
            </w:tcMar>
          </w:tcPr>
          <w:p>
            <w:pPr>
              <w:spacing w:after="0" w:line="252" w:lineRule="auto"/>
            </w:pPr>
            <w:r>
              <w:rPr>
                <w:rFonts w:ascii="微软雅黑" w:hAnsi="微软雅黑"/>
                <w:b w:val="0"/>
                <w:sz w:val="21"/>
              </w:rPr>
              <w:t>利尿药</w:t>
            </w:r>
          </w:p>
        </w:tc>
        <w:tc>
          <w:tcPr>
            <w:tcW w:type="dxa" w:w="2016"/>
            <w:vAlign w:val="center"/>
            <w:tcMar>
              <w:top w:w="95" w:type="dxa"/>
              <w:bottom w:w="95" w:type="dxa"/>
              <w:left w:w="90" w:type="dxa"/>
              <w:right w:w="90" w:type="dxa"/>
            </w:tcMar>
          </w:tcPr>
          <w:p>
            <w:pPr>
              <w:spacing w:after="0" w:line="252" w:lineRule="auto"/>
              <w:jc w:val="center"/>
            </w:pPr>
            <w:r>
              <w:rPr>
                <w:rFonts w:ascii="微软雅黑" w:hAnsi="微软雅黑"/>
                <w:b w:val="0"/>
                <w:sz w:val="21"/>
              </w:rPr>
              <w:t>3／4场</w:t>
            </w:r>
          </w:p>
        </w:tc>
        <w:tc>
          <w:tcPr>
            <w:tcW w:type="dxa" w:w="2016"/>
            <w:vAlign w:val="center"/>
            <w:tcMar>
              <w:top w:w="95" w:type="dxa"/>
              <w:bottom w:w="95" w:type="dxa"/>
              <w:left w:w="90" w:type="dxa"/>
              <w:right w:w="90" w:type="dxa"/>
            </w:tcMar>
          </w:tcPr>
          <w:p>
            <w:pPr>
              <w:spacing w:after="0" w:line="252" w:lineRule="auto"/>
              <w:jc w:val="center"/>
            </w:pPr>
            <w:r>
              <w:rPr>
                <w:rFonts w:ascii="微软雅黑" w:hAnsi="微软雅黑"/>
                <w:b w:val="0"/>
                <w:sz w:val="21"/>
              </w:rPr>
              <w:t>3／4场</w:t>
            </w:r>
          </w:p>
        </w:tc>
        <w:tc>
          <w:tcPr>
            <w:tcW w:type="dxa" w:w="3024"/>
            <w:vAlign w:val="center"/>
            <w:tcMar>
              <w:top w:w="95" w:type="dxa"/>
              <w:bottom w:w="95" w:type="dxa"/>
              <w:left w:w="90" w:type="dxa"/>
              <w:right w:w="90" w:type="dxa"/>
            </w:tcMar>
          </w:tcPr>
          <w:p>
            <w:pPr>
              <w:spacing w:after="0" w:line="252" w:lineRule="auto"/>
              <w:jc w:val="center"/>
            </w:pPr>
            <w:r>
              <w:rPr>
                <w:rFonts w:ascii="微软雅黑" w:hAnsi="微软雅黑"/>
                <w:b w:val="0"/>
                <w:sz w:val="21"/>
              </w:rPr>
              <w:t>30道</w:t>
            </w:r>
          </w:p>
        </w:tc>
      </w:tr>
      <w:tr>
        <w:trPr>
          <w:cantSplit/>
        </w:trPr>
        <w:tc>
          <w:tcPr>
            <w:tcW w:type="dxa" w:w="2304"/>
            <w:vAlign w:val="center"/>
            <w:tcMar>
              <w:top w:w="95" w:type="dxa"/>
              <w:bottom w:w="95" w:type="dxa"/>
              <w:left w:w="90" w:type="dxa"/>
              <w:right w:w="90" w:type="dxa"/>
            </w:tcMar>
          </w:tcPr>
          <w:p>
            <w:pPr>
              <w:spacing w:after="0" w:line="252" w:lineRule="auto"/>
            </w:pPr>
            <w:r>
              <w:rPr>
                <w:rFonts w:ascii="微软雅黑" w:hAnsi="微软雅黑"/>
                <w:b w:val="0"/>
                <w:sz w:val="21"/>
              </w:rPr>
              <w:t>甲氨蝶呤</w:t>
            </w:r>
          </w:p>
        </w:tc>
        <w:tc>
          <w:tcPr>
            <w:tcW w:type="dxa" w:w="2016"/>
            <w:vAlign w:val="center"/>
            <w:tcMar>
              <w:top w:w="95" w:type="dxa"/>
              <w:bottom w:w="95" w:type="dxa"/>
              <w:left w:w="90" w:type="dxa"/>
              <w:right w:w="90" w:type="dxa"/>
            </w:tcMar>
          </w:tcPr>
          <w:p>
            <w:pPr>
              <w:spacing w:after="0" w:line="252" w:lineRule="auto"/>
              <w:jc w:val="center"/>
            </w:pPr>
            <w:r>
              <w:rPr>
                <w:rFonts w:ascii="微软雅黑" w:hAnsi="微软雅黑"/>
                <w:b w:val="0"/>
                <w:sz w:val="21"/>
              </w:rPr>
              <w:t>3／4场</w:t>
            </w:r>
          </w:p>
        </w:tc>
        <w:tc>
          <w:tcPr>
            <w:tcW w:type="dxa" w:w="2016"/>
            <w:vAlign w:val="center"/>
            <w:tcMar>
              <w:top w:w="95" w:type="dxa"/>
              <w:bottom w:w="95" w:type="dxa"/>
              <w:left w:w="90" w:type="dxa"/>
              <w:right w:w="90" w:type="dxa"/>
            </w:tcMar>
          </w:tcPr>
          <w:p>
            <w:pPr>
              <w:spacing w:after="0" w:line="252" w:lineRule="auto"/>
              <w:jc w:val="center"/>
            </w:pPr>
            <w:r>
              <w:rPr>
                <w:rFonts w:ascii="微软雅黑" w:hAnsi="微软雅黑"/>
                <w:b w:val="0"/>
                <w:sz w:val="21"/>
              </w:rPr>
              <w:t>3／4场</w:t>
            </w:r>
          </w:p>
        </w:tc>
        <w:tc>
          <w:tcPr>
            <w:tcW w:type="dxa" w:w="3024"/>
            <w:vAlign w:val="center"/>
            <w:tcMar>
              <w:top w:w="95" w:type="dxa"/>
              <w:bottom w:w="95" w:type="dxa"/>
              <w:left w:w="90" w:type="dxa"/>
              <w:right w:w="90" w:type="dxa"/>
            </w:tcMar>
          </w:tcPr>
          <w:p>
            <w:pPr>
              <w:spacing w:after="0" w:line="252" w:lineRule="auto"/>
              <w:jc w:val="center"/>
            </w:pPr>
            <w:r>
              <w:rPr>
                <w:rFonts w:ascii="微软雅黑" w:hAnsi="微软雅黑"/>
                <w:b w:val="0"/>
                <w:sz w:val="21"/>
              </w:rPr>
              <w:t>30道</w:t>
            </w:r>
          </w:p>
        </w:tc>
      </w:tr>
      <w:tr>
        <w:trPr>
          <w:cantSplit/>
        </w:trPr>
        <w:tc>
          <w:tcPr>
            <w:tcW w:type="dxa" w:w="2304"/>
            <w:vAlign w:val="center"/>
            <w:tcMar>
              <w:top w:w="95" w:type="dxa"/>
              <w:bottom w:w="95" w:type="dxa"/>
              <w:left w:w="90" w:type="dxa"/>
              <w:right w:w="90" w:type="dxa"/>
            </w:tcMar>
          </w:tcPr>
          <w:p>
            <w:pPr>
              <w:spacing w:after="0" w:line="252" w:lineRule="auto"/>
            </w:pPr>
            <w:r>
              <w:rPr>
                <w:rFonts w:ascii="微软雅黑" w:hAnsi="微软雅黑"/>
                <w:b w:val="0"/>
                <w:sz w:val="21"/>
              </w:rPr>
              <w:t>偏头痛</w:t>
            </w:r>
          </w:p>
        </w:tc>
        <w:tc>
          <w:tcPr>
            <w:tcW w:type="dxa" w:w="2016"/>
            <w:vAlign w:val="center"/>
            <w:tcMar>
              <w:top w:w="95" w:type="dxa"/>
              <w:bottom w:w="95" w:type="dxa"/>
              <w:left w:w="90" w:type="dxa"/>
              <w:right w:w="90" w:type="dxa"/>
            </w:tcMar>
          </w:tcPr>
          <w:p>
            <w:pPr>
              <w:spacing w:after="0" w:line="252" w:lineRule="auto"/>
              <w:jc w:val="center"/>
            </w:pPr>
            <w:r>
              <w:rPr>
                <w:rFonts w:ascii="微软雅黑" w:hAnsi="微软雅黑"/>
                <w:b w:val="0"/>
                <w:sz w:val="21"/>
              </w:rPr>
              <w:t>3／4场</w:t>
            </w:r>
          </w:p>
        </w:tc>
        <w:tc>
          <w:tcPr>
            <w:tcW w:type="dxa" w:w="2016"/>
            <w:vAlign w:val="center"/>
            <w:tcMar>
              <w:top w:w="95" w:type="dxa"/>
              <w:bottom w:w="95" w:type="dxa"/>
              <w:left w:w="90" w:type="dxa"/>
              <w:right w:w="90" w:type="dxa"/>
            </w:tcMar>
          </w:tcPr>
          <w:p>
            <w:pPr>
              <w:spacing w:after="0" w:line="252" w:lineRule="auto"/>
              <w:jc w:val="center"/>
            </w:pPr>
            <w:r>
              <w:rPr>
                <w:rFonts w:ascii="微软雅黑" w:hAnsi="微软雅黑"/>
                <w:b w:val="0"/>
                <w:sz w:val="21"/>
              </w:rPr>
              <w:t>3／4场</w:t>
            </w:r>
          </w:p>
        </w:tc>
        <w:tc>
          <w:tcPr>
            <w:tcW w:type="dxa" w:w="3024"/>
            <w:vAlign w:val="center"/>
            <w:tcMar>
              <w:top w:w="95" w:type="dxa"/>
              <w:bottom w:w="95" w:type="dxa"/>
              <w:left w:w="90" w:type="dxa"/>
              <w:right w:w="90" w:type="dxa"/>
            </w:tcMar>
          </w:tcPr>
          <w:p>
            <w:pPr>
              <w:spacing w:after="0" w:line="252" w:lineRule="auto"/>
              <w:jc w:val="center"/>
            </w:pPr>
            <w:r>
              <w:rPr>
                <w:rFonts w:ascii="微软雅黑" w:hAnsi="微软雅黑"/>
                <w:b w:val="0"/>
                <w:sz w:val="21"/>
              </w:rPr>
              <w:t>30道</w:t>
            </w:r>
          </w:p>
        </w:tc>
      </w:tr>
      <w:tr>
        <w:trPr>
          <w:cantSplit/>
        </w:trPr>
        <w:tc>
          <w:tcPr>
            <w:tcW w:type="dxa" w:w="2304"/>
            <w:vAlign w:val="center"/>
            <w:tcMar>
              <w:top w:w="95" w:type="dxa"/>
              <w:bottom w:w="95" w:type="dxa"/>
              <w:left w:w="90" w:type="dxa"/>
              <w:right w:w="90" w:type="dxa"/>
            </w:tcMar>
          </w:tcPr>
          <w:p>
            <w:pPr>
              <w:spacing w:after="0" w:line="252" w:lineRule="auto"/>
            </w:pPr>
            <w:r>
              <w:rPr>
                <w:rFonts w:ascii="微软雅黑" w:hAnsi="微软雅黑"/>
                <w:b w:val="0"/>
                <w:sz w:val="21"/>
              </w:rPr>
              <w:t>合计</w:t>
            </w:r>
          </w:p>
        </w:tc>
        <w:tc>
          <w:tcPr>
            <w:tcW w:type="dxa" w:w="2016"/>
            <w:vAlign w:val="center"/>
            <w:tcMar>
              <w:top w:w="95" w:type="dxa"/>
              <w:bottom w:w="95" w:type="dxa"/>
              <w:left w:w="90" w:type="dxa"/>
              <w:right w:w="90" w:type="dxa"/>
            </w:tcMar>
          </w:tcPr>
          <w:p>
            <w:pPr>
              <w:spacing w:after="0" w:line="252" w:lineRule="auto"/>
              <w:jc w:val="center"/>
            </w:pPr>
            <w:r>
              <w:rPr>
                <w:rFonts w:ascii="微软雅黑" w:hAnsi="微软雅黑"/>
                <w:b w:val="0"/>
                <w:sz w:val="21"/>
              </w:rPr>
              <w:t>12／16场</w:t>
            </w:r>
          </w:p>
        </w:tc>
        <w:tc>
          <w:tcPr>
            <w:tcW w:type="dxa" w:w="2016"/>
            <w:vAlign w:val="center"/>
            <w:tcMar>
              <w:top w:w="95" w:type="dxa"/>
              <w:bottom w:w="95" w:type="dxa"/>
              <w:left w:w="90" w:type="dxa"/>
              <w:right w:w="90" w:type="dxa"/>
            </w:tcMar>
          </w:tcPr>
          <w:p>
            <w:pPr>
              <w:spacing w:after="0" w:line="252" w:lineRule="auto"/>
              <w:jc w:val="center"/>
            </w:pPr>
            <w:r>
              <w:rPr>
                <w:rFonts w:ascii="微软雅黑" w:hAnsi="微软雅黑"/>
                <w:b w:val="0"/>
                <w:sz w:val="21"/>
              </w:rPr>
              <w:t>12／16场</w:t>
            </w:r>
          </w:p>
        </w:tc>
        <w:tc>
          <w:tcPr>
            <w:tcW w:type="dxa" w:w="3024"/>
            <w:vAlign w:val="center"/>
            <w:tcMar>
              <w:top w:w="95" w:type="dxa"/>
              <w:bottom w:w="95" w:type="dxa"/>
              <w:left w:w="90" w:type="dxa"/>
              <w:right w:w="90" w:type="dxa"/>
            </w:tcMar>
          </w:tcPr>
          <w:p>
            <w:pPr>
              <w:spacing w:after="0" w:line="252" w:lineRule="auto"/>
              <w:jc w:val="center"/>
            </w:pPr>
            <w:r>
              <w:rPr>
                <w:rFonts w:ascii="微软雅黑" w:hAnsi="微软雅黑"/>
                <w:b w:val="0"/>
                <w:sz w:val="21"/>
              </w:rPr>
              <w:t>每项指标120道</w:t>
            </w:r>
          </w:p>
        </w:tc>
      </w:tr>
    </w:tbl>
    <w:p>
      <w:pPr>
        <w:pStyle w:val="Heading1"/>
      </w:pPr>
      <w:r>
        <w:t>一道测试题是什么</w:t>
      </w:r>
    </w:p>
    <w:p>
      <w:pPr>
        <w:spacing w:line="280" w:lineRule="exact" w:after="120"/>
      </w:pPr>
      <w:r>
        <w:rPr>
          <w:sz w:val="21"/>
        </w:rPr>
        <w:t>就像让两种系统做同一道考题。角色测试把对话停在人工智能即将回复的位置，甲乙各答一次；评价测试让甲乙评价同一份完整对话。例如第2页的甲癣对话，考题就是“答对后是否仍保留提示引起的 C+ 上限”。两份输出组成一次配对测试，不算两个独立样本。</w:t>
      </w:r>
    </w:p>
    <w:p>
      <w:pPr>
        <w:spacing w:line="280" w:lineRule="exact" w:after="120"/>
      </w:pPr>
      <w:r>
        <w:rPr>
          <w:sz w:val="21"/>
        </w:rPr>
        <w:t>30道指同一个已有病例里的30种不同测试情况，不是30名学生或30个新疾病。两项指标分别各准备四站×30＝120道配对题，各产生240份输出。先按学院要求确定参考答案；重复运行、换一种说法或同一对话的相关片段不能充作独立题。</w:t>
      </w:r>
    </w:p>
    <w:p>
      <w:pPr>
        <w:pStyle w:val="Heading1"/>
      </w:pPr>
      <w:r>
        <w:t>30这个数怎样来的</w:t>
      </w:r>
    </w:p>
    <w:p>
      <w:pPr>
        <w:spacing w:line="280" w:lineRule="exact" w:after="120"/>
      </w:pPr>
      <w:r>
        <w:rPr>
          <w:sz w:val="21"/>
        </w:rPr>
        <w:t>先作一个预算假设：同样100道题，20道只有乙答对，5道只有甲答对，其余75道双方都对或都错。这里不是甲乙的总正确率，也不是实测结果。在这个差距下，统计规划需要108道题；108÷4＝每站27道，暂按每站30道准备，共120道。不存在“满30道就足够”的通用规定。[7, 8]</w:t>
      </w:r>
    </w:p>
    <w:p>
      <w:pPr>
        <w:spacing w:line="280" w:lineRule="exact" w:after="120"/>
      </w:pPr>
      <w:r>
        <w:rPr>
          <w:sz w:val="21"/>
        </w:rPr>
        <w:t>约85%的“功效”是指：如果上述优势真实存在，重复开展这样的研究，约100次中85次能发现优势，不是系统正确率85%。计算采用双侧麦克尼马精确检验，两项指标各设2.5%的误报门槛；108对约有80%功效。这里只支持四站合并比较。正式收集前应先预试、修正假设再锁定数量，差距更小就需更多题。</w:t>
      </w:r>
    </w:p>
    <w:p>
      <w:pPr>
        <w:pStyle w:val="Heading1"/>
      </w:pPr>
      <w:r>
        <w:t>参与者要做什么与所需时间</w:t>
      </w:r>
    </w:p>
    <w:p>
      <w:pPr>
        <w:spacing w:line="280" w:lineRule="exact" w:after="120"/>
      </w:pPr>
      <w:r>
        <w:rPr>
          <w:sz w:val="21"/>
        </w:rPr>
        <w:t>六至八人同时开始：统一说明10分钟＋每人54分钟（咨询40、读题8、换站3、问卷3）＋缓冲10至20分钟，共74至84分钟，建议预留90分钟。准备独立设备与耳机，先演练并发容量。学生在反馈前填写操作体验、角色一致性和交流相关性问卷。一至两位教师随后按已有要求审核匿名记录，审核时间不计入90分钟。</w:t>
      </w:r>
    </w:p>
    <w:p>
      <w:pPr>
        <w:spacing w:line="280" w:lineRule="exact" w:after="120"/>
      </w:pPr>
      <w:r>
        <w:rPr>
          <w:sz w:val="20"/>
        </w:rPr>
        <w:t>样本与统计方法依据：</w:t>
      </w:r>
      <w:hyperlink r:id="rId12">
        <w:r>
          <w:rPr>
            <w:color w:val="205B88"/>
            <w:sz w:val="21"/>
            <w:u w:val="single"/>
          </w:rPr>
          <w:t>[6] Eldridge 等 2016</w:t>
        </w:r>
      </w:hyperlink>
      <w:r>
        <w:t>；</w:t>
      </w:r>
      <w:hyperlink r:id="rId13">
        <w:r>
          <w:rPr>
            <w:color w:val="205B88"/>
            <w:sz w:val="21"/>
            <w:u w:val="single"/>
          </w:rPr>
          <w:t>[7] Lakens 2022</w:t>
        </w:r>
      </w:hyperlink>
      <w:r>
        <w:t>；</w:t>
      </w:r>
      <w:hyperlink r:id="rId14">
        <w:r>
          <w:rPr>
            <w:color w:val="205B88"/>
            <w:sz w:val="21"/>
            <w:u w:val="single"/>
          </w:rPr>
          <w:t>[8] Fagerland 等 2013</w:t>
        </w:r>
      </w:hyperlink>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decimal"/>
      <w:lvlText w:val="%2."/>
      <w:lvlJc w:val="left"/>
      <w:pPr>
        <w:ind w:left="1440" w:hanging="360"/>
      </w:pPr>
      <w:rPr>
        <w:b w:val="0"/>
        <w:bCs w:val="0"/>
        <w:i w:val="0"/>
        <w:iCs w:val="0"/>
        <w:smallCaps w:val="0"/>
        <w:strike w:val="0"/>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00" w:lineRule="exact" w:after="120" w:before="0"/>
      <w:snapToGrid w:val="0"/>
    </w:pPr>
    <w:rPr>
      <w:rFonts w:ascii="微软雅黑" w:hAnsi="微软雅黑" w:eastAsia="微软雅黑" w:cs="微软雅黑"/>
      <w:b w:val="0"/>
      <w:color w:val="000000"/>
      <w:sz w:val="22"/>
    </w:rPr>
  </w:style>
  <w:style w:type="paragraph" w:styleId="Heading1">
    <w:name w:val="heading 1"/>
    <w:basedOn w:val="Normal"/>
    <w:next w:val="Normal"/>
    <w:pPr>
      <w:keepNext/>
      <w:keepLines w:val="1"/>
      <w:pageBreakBefore w:val="0"/>
      <w:spacing w:after="100" w:before="120" w:lineRule="exact" w:line="380"/>
      <w:snapToGrid w:val="0"/>
    </w:pPr>
    <w:rPr>
      <w:rFonts w:ascii="微软雅黑" w:hAnsi="微软雅黑" w:eastAsia="微软雅黑" w:cs="微软雅黑"/>
      <w:b/>
      <w:color w:val="000000"/>
      <w:sz w:val="26"/>
      <w:szCs w:val="40"/>
    </w:rPr>
  </w:style>
  <w:style w:type="paragraph" w:styleId="Heading2">
    <w:name w:val="heading 2"/>
    <w:basedOn w:val="Normal"/>
    <w:next w:val="Normal"/>
    <w:pPr>
      <w:keepNext/>
      <w:keepLines w:val="1"/>
      <w:pageBreakBefore w:val="0"/>
      <w:spacing w:after="100" w:before="120" w:lineRule="exact" w:line="340"/>
      <w:snapToGrid w:val="0"/>
    </w:pPr>
    <w:rPr>
      <w:rFonts w:ascii="微软雅黑" w:hAnsi="微软雅黑" w:eastAsia="微软雅黑" w:cs="微软雅黑"/>
      <w:b/>
      <w:bCs w:val="0"/>
      <w:color w:val="000000"/>
      <w:sz w:val="24"/>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140" w:before="0" w:lineRule="exact" w:line="380"/>
      <w:snapToGrid w:val="0"/>
    </w:pPr>
    <w:rPr>
      <w:rFonts w:ascii="微软雅黑" w:hAnsi="微软雅黑" w:eastAsia="微软雅黑" w:cs="微软雅黑"/>
      <w:b/>
      <w:color w:val="000000"/>
      <w:sz w:val="28"/>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paragraph" w:customStyle="1" w:styleId="Caption">
    <w:name w:val="caption"/>
    <w:basedOn w:val="Normal"/>
    <w:pPr>
      <w:spacing w:line="300" w:lineRule="exact" w:after="120" w:before="0"/>
      <w:snapToGrid w:val="0"/>
    </w:pPr>
    <w:rPr>
      <w:rFonts w:ascii="微软雅黑" w:hAnsi="微软雅黑" w:eastAsia="微软雅黑" w:cs="微软雅黑"/>
      <w:b w:val="0"/>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186/s41077-017-0043-4" TargetMode="External"/><Relationship Id="rId7" Type="http://schemas.openxmlformats.org/officeDocument/2006/relationships/hyperlink" Target="https://arxiv.org/pdf/2503.05793v2#page=5" TargetMode="External"/><Relationship Id="rId8" Type="http://schemas.openxmlformats.org/officeDocument/2006/relationships/hyperlink" Target="https://www.nature.com/articles/s43856-025-01283-x" TargetMode="External"/><Relationship Id="rId9" Type="http://schemas.openxmlformats.org/officeDocument/2006/relationships/hyperlink" Target="https://arxiv.org/pdf/2608.12097#page=3" TargetMode="External"/><Relationship Id="rId10" Type="http://schemas.openxmlformats.org/officeDocument/2006/relationships/hyperlink" Target="https://www.ijcai.org/proceedings/2025/1065.pdf#page=3" TargetMode="External"/><Relationship Id="rId11" Type="http://schemas.openxmlformats.org/officeDocument/2006/relationships/image" Target="media/image1.png"/><Relationship Id="rId12" Type="http://schemas.openxmlformats.org/officeDocument/2006/relationships/hyperlink" Target="https://doi.org/10.1136/bmj.i5239" TargetMode="External"/><Relationship Id="rId13" Type="http://schemas.openxmlformats.org/officeDocument/2006/relationships/hyperlink" Target="https://doi.org/10.1525/collabra.33267" TargetMode="External"/><Relationship Id="rId14" Type="http://schemas.openxmlformats.org/officeDocument/2006/relationships/hyperlink" Target="https://doi.org/10.1186/1471-2288-13-91" TargetMode="Externa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证据图裁判 以规则图与证据图统一药学临床考核的角色行为控制与学生表现评价</dc:title>
  <cp:lastModifiedBy>python-docx</cp:lastModifiedBy>
  <cp:revision>1</cp:revision>
  <dcterms:modified xsi:type="dcterms:W3CDTF">2026-10-05T00:08:17Z</dcterms:modified>
  <dc:subject>张教授讨论与配对验证方案</dc:subject>
  <dc:creator>药学临床考核研究团队</dc:creator>
</cp:coreProperties>
</file>