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Evidence-Graph Judge</w:t>
      </w:r>
    </w:p>
    <w:p>
      <w:pPr>
        <w:pStyle w:val="Subtitle"/>
      </w:pPr>
      <w:r>
        <w:t>面向药学 OSCE，统一角色控制与表现评价</w:t>
      </w:r>
    </w:p>
    <w:p>
      <w:pPr>
        <w:spacing w:after="200"/>
      </w:pPr>
      <w:r>
        <w:rPr>
          <w:sz w:val="20"/>
        </w:rPr>
        <w:t>供 CUHK YT 张教授讨论    论文思路与 2026 年 10 月 7 日上午实验安排</w:t>
      </w:r>
    </w:p>
    <w:p>
      <w:r>
        <w:rPr>
          <w:b/>
        </w:rPr>
        <w:t>我们希望在学院已有的人工 OSCE 经验上开展两层比较：先用原有教学和考核要求检查 AI OSCE 是否可用，再检验 EGJ 是否比常规 AI OSCE 更能保持角色表现、正确评价学生。10 月 7 日拟在 09:30–13:30 安排 16 名学生，每人完成两个不同考站，最多两人同时参加。请张教授协助确认原标准、招募学生，并在活动后核验记录。</w:t>
      </w:r>
    </w:p>
    <w:p>
      <w:pPr>
        <w:pStyle w:val="Heading2"/>
      </w:pPr>
      <w:r>
        <w:t>先回答学院关心的问题</w:t>
      </w:r>
    </w:p>
    <w:p>
      <w:r>
        <w:t>人工 OSCE 已有明确的病例、角色和评分要求。引入 AI 的理由是增加练习机会、减少每次安排人工角色的组织工作；这些改进不能自动等同于考核质量更高。传统药学 OSCE 的实施研究报告了人员和资源困难，ASPE 实践标准要求角色与评价准确一致。我们希望沿用学院的要求检查 AI，而不是另外造一套容易通过的标准。</w:t>
      </w:r>
      <w:hyperlink w:anchor="ref_STURPE">
        <w:r>
          <w:rPr>
            <w:color w:val="184E7B"/>
            <w:u w:val="single"/>
            <w:sz w:val="20"/>
            <w:rFonts w:ascii="Times New Roman" w:hAnsi="Times New Roman" w:eastAsia="宋体"/>
          </w:rPr>
          <w:t>[1]</w:t>
        </w:r>
      </w:hyperlink>
      <w:r/>
      <w:hyperlink w:anchor="ref_R01">
        <w:r>
          <w:rPr>
            <w:color w:val="184E7B"/>
            <w:u w:val="single"/>
            <w:sz w:val="20"/>
            <w:rFonts w:ascii="Times New Roman" w:hAnsi="Times New Roman" w:eastAsia="宋体"/>
          </w:rPr>
          <w:t>[2]</w:t>
        </w:r>
      </w:hyperlink>
      <w:r/>
    </w:p>
    <w:p>
      <w:r>
        <w:t>如果学院已有同病例的人工角色记录、逐项评分或评分员一致性资料，可以用相同方法核验人工、常规 AI 和 EGJ。若只有原标准、没有可比人工记录，本次仍能回答“AI 是否达到教师要求”，但不能仅凭学生满意或不同届的通过率断言 AI 优于人工。</w:t>
      </w:r>
      <w:hyperlink w:anchor="ref_R17">
        <w:r>
          <w:rPr>
            <w:color w:val="184E7B"/>
            <w:u w:val="single"/>
            <w:sz w:val="20"/>
            <w:rFonts w:ascii="Times New Roman" w:hAnsi="Times New Roman" w:eastAsia="宋体"/>
          </w:rPr>
          <w:t>[10]</w:t>
        </w:r>
      </w:hyperlink>
      <w:r/>
      <w:hyperlink w:anchor="ref_R19">
        <w:r>
          <w:rPr>
            <w:color w:val="184E7B"/>
            <w:u w:val="single"/>
            <w:sz w:val="20"/>
            <w:rFonts w:ascii="Times New Roman" w:hAnsi="Times New Roman" w:eastAsia="宋体"/>
          </w:rPr>
          <w:t>[11]</w:t>
        </w:r>
      </w:hyperlink>
      <w:r/>
    </w:p>
    <w:p>
      <w:pPr>
        <w:pStyle w:val="Heading2"/>
      </w:pPr>
      <w:r>
        <w:t>再回答这篇论文要解决的问题</w:t>
      </w:r>
    </w:p>
    <w:p>
      <w:r>
        <w:t>常规 AI 方案让一个模型按角色要求进行对话，结束后另一次模型调用读取完整历史和评分表。已有系统也会用知识检索、逐项检查及原句证据；这一方案应作为认真配置的对照。</w:t>
      </w:r>
      <w:hyperlink w:anchor="ref_R34">
        <w:r>
          <w:rPr>
            <w:color w:val="184E7B"/>
            <w:u w:val="single"/>
            <w:sz w:val="20"/>
            <w:rFonts w:ascii="Times New Roman" w:hAnsi="Times New Roman" w:eastAsia="宋体"/>
          </w:rPr>
          <w:t>[4]</w:t>
        </w:r>
      </w:hyperlink>
      <w:r/>
      <w:hyperlink w:anchor="ref_SOURIAL">
        <w:r>
          <w:rPr>
            <w:color w:val="184E7B"/>
            <w:u w:val="single"/>
            <w:sz w:val="20"/>
            <w:rFonts w:ascii="Times New Roman" w:hAnsi="Times New Roman" w:eastAsia="宋体"/>
          </w:rPr>
          <w:t>[5]</w:t>
        </w:r>
      </w:hyperlink>
      <w:r>
        <w:t xml:space="preserve"> EGJ 在此基础上，把实际角色行为与评价依据放进持续更新的共同记录，让同一次提示、复述或纠正影响两端的判断。</w:t>
      </w:r>
    </w:p>
    <w:p>
      <w:r>
        <w:t>药学聊天训练的学生和教师报告过患者过于博学、透露过多信息以及药物治疗反馈不足；OSCE 研究还明确区分了“答案已出现在对话中”和“学生主动问出或确认答案”。这些发现说明角色行为与评分之间有需要核验的联系，并不证明常规 AI 必然失败。</w:t>
      </w:r>
      <w:hyperlink w:anchor="ref_R03">
        <w:r>
          <w:rPr>
            <w:color w:val="184E7B"/>
            <w:u w:val="single"/>
            <w:sz w:val="20"/>
            <w:rFonts w:ascii="Times New Roman" w:hAnsi="Times New Roman" w:eastAsia="宋体"/>
          </w:rPr>
          <w:t>[3]</w:t>
        </w:r>
      </w:hyperlink>
      <w:r/>
      <w:hyperlink w:anchor="ref_R14">
        <w:r>
          <w:rPr>
            <w:color w:val="184E7B"/>
            <w:u w:val="single"/>
            <w:sz w:val="20"/>
            <w:rFonts w:ascii="Times New Roman" w:hAnsi="Times New Roman" w:eastAsia="宋体"/>
          </w:rPr>
          <w:t>[6]</w:t>
        </w:r>
      </w:hyperlink>
      <w:r/>
    </w:p>
    <w:p>
      <w:r>
        <w:t>例如甲癣站，医生按规则提示后，学生补充回答正确：应认可学生已回答，同时执行本站提示后的等级限制。若 AI 擅自先说出答案，则要检查考核是否受到系统干预。我们检验 EGJ 是否减少这类遗漏或混淆；评分标准仍由学院决定。</w:t>
      </w:r>
    </w:p>
    <w:p>
      <w:pPr>
        <w:pStyle w:val="Heading1"/>
        <w:pageBreakBefore/>
      </w:pPr>
      <w:r>
        <w:t>两种 AI OSCE 如何不同</w:t>
      </w:r>
    </w:p>
    <w:p>
      <w:r>
        <w:t>两种方案都使用同一模型、病例、角色要求、药学资料和原评分表。常规方案在角色端和评分端分别理解这些材料；EGJ 将学院要求编为可执行规则，并使两端使用同一份当前事件记录。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图 1 常规 AI 的独立推断与 EGJ 的共同事件执行</w:t>
      </w:r>
    </w:p>
    <w:p>
      <w:r>
        <w:t>这里的实时联动是每轮共同更新证据，然后分别产生角色权限和评价状态。实际提示必须先发出，才影响评分；图中的并行是两个用途共享状态，不要求两次模型调用在同一瞬间发生。</w:t>
      </w:r>
    </w:p>
    <w:p>
      <w:r>
        <w:t>常规方案也保留说话者、时间和提示实际交付记录；它可以正确理解这些信息。论文要验证的是，显式规则执行能否比模型分别重新解释更稳定、更准确，而不是比较有资料的 EGJ 和缺资料的对照。</w:t>
      </w:r>
    </w:p>
    <w:p>
      <w:pPr>
        <w:pStyle w:val="Heading1"/>
        <w:pageBreakBefore/>
      </w:pPr>
      <w:r>
        <w:t>EGJ 的方法和论文要证明的贡献</w:t>
      </w:r>
    </w:p>
    <w:p>
      <w:pPr>
        <w:pStyle w:val="Heading2"/>
      </w:pPr>
      <w:r>
        <w:t>用学院规则判断同一份实际证据</w:t>
      </w:r>
    </w:p>
    <w:p>
      <w:r>
        <w:t>规则图保存角色可以披露什么、何时允许提示、学生必须完成什么，以及具体药物和患者条件。证据图保存学生与角色的实际发言，并注明来源、时间、所指药物、提示是否真的发出和哪句话被纠正。LLM 负责理解原话，程序执行已经确认的规则。角色规则与评分规则各自独立，共享事件和前提。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同一引擎的输入</w:t>
            </w:r>
          </w:p>
        </w:tc>
        <w:tc>
          <w:tcPr>
            <w:tcW w:type="dxa" w:w="62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两个不同的结果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固定规则图</w:t>
              <w:br/>
              <w:t>当前对话证据图</w:t>
              <w:br/>
              <w:t>当前会话状态</w:t>
            </w:r>
          </w:p>
        </w:tc>
        <w:tc>
          <w:tcPr>
            <w:tcW w:type="dxa" w:w="62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角色端：本轮必须答、可以答、不能披露的内容，以及是否能使用指定提示。</w:t>
              <w:br/>
              <w:t>评价端：学生已完成的要求、未完成或无法判断的项目，以及提示和错误应产生的后果。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pPr>
        <w:pStyle w:val="Heading2"/>
      </w:pPr>
      <w:r>
        <w:t>MTX 的错误和纠正说明为什么要保留过程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66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实际发生的发言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角色与评价分别怎样理解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学生：Methotrexate 每日一次。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记录学生的错误建议，按本站频次要求核验。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患者：即係每日食一次？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这是复述学生的话；若本站允许确认，角色可以这样回应。不能当成学生新增的正确作答。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学生：我更正一下，係每星期一次，唔係每日。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当前建议已被纠正；保留早前错误。最后是否仍降级或失败，依学院现行纠正政策执行。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r>
        <w:t>图准则编译已有 GSR，双方行为及时间条件已有 LogiDebrief。EGJ 的贡献拟定位为：把角色授权、实际交付和学生回应接到同一执行过程，角色端据此决定下一步，评价端据此执行相同的提示及修订后果。我们将通过对照和一个小型机制检查验证这一组合的增益。</w:t>
      </w:r>
      <w:hyperlink w:anchor="ref_R07">
        <w:r>
          <w:rPr>
            <w:color w:val="184E7B"/>
            <w:u w:val="single"/>
            <w:sz w:val="20"/>
            <w:rFonts w:ascii="Times New Roman" w:hAnsi="Times New Roman" w:eastAsia="宋体"/>
          </w:rPr>
          <w:t>[8]</w:t>
        </w:r>
      </w:hyperlink>
      <w:r/>
      <w:hyperlink w:anchor="ref_R24">
        <w:r>
          <w:rPr>
            <w:color w:val="184E7B"/>
            <w:u w:val="single"/>
            <w:sz w:val="20"/>
            <w:rFonts w:ascii="Times New Roman" w:hAnsi="Times New Roman" w:eastAsia="宋体"/>
          </w:rPr>
          <w:t>[9]</w:t>
        </w:r>
      </w:hyperlink>
      <w:r/>
    </w:p>
    <w:p>
      <w:pPr>
        <w:pStyle w:val="Heading2"/>
      </w:pPr>
      <w:r>
        <w:t>拟写入摘要的研究思路</w:t>
      </w:r>
    </w:p>
    <w:p>
      <w:r>
        <w:t>药学 AI OSCE 中，角色披露、提示和学生纠正会改变表现评价的依据。EGJ 将角色权限和评分要求编为规则图，通过带来源、时序及药物条件的证据匹配，同时控制角色行为与更新评价。研究在四个 CUHK 药学考站开展均衡试用、同对话评分比较与受控模拟，检验角色合规和评价准确性。摘要的样本、差值与区间在收集后填入。</w:t>
      </w:r>
    </w:p>
    <w:p>
      <w:r>
        <w:t>章节依次为问题与已有研究、方法、实验、结果、教学用途与局限。专业知识按适应证、有效性、安全性和依从性组织；复杂关联提供研究动机，不能代替实测结果。</w:t>
      </w:r>
      <w:hyperlink w:anchor="ref_R23">
        <w:r>
          <w:rPr>
            <w:color w:val="184E7B"/>
            <w:u w:val="single"/>
            <w:sz w:val="20"/>
            <w:rFonts w:ascii="Times New Roman" w:hAnsi="Times New Roman" w:eastAsia="宋体"/>
          </w:rPr>
          <w:t>[7]</w:t>
        </w:r>
      </w:hyperlink>
      <w:r/>
    </w:p>
    <w:p>
      <w:pPr>
        <w:pStyle w:val="Heading1"/>
        <w:pageBreakBefore/>
      </w:pPr>
      <w:r>
        <w:t>一次活动怎样取得两层比较的数据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190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90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图 2 现场收集一次对话 再由教师与两种方法分别核验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68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比较问题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使用什么数据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结论能说到哪里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AI 是否达到学院要求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教师用原角色标准及原 rubric 核验两种 AI；同时记录任务完成、严重错误和使用中断。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可判断本次是否满足预先确认的要求。只有达标指标，不能写“优于人工”。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与既有人工 OSCE 相比如何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若有可复用的同病例人工录像及逐项原评分，用同一表重新核验；两评分器还可复评同一人工历史。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可做同标准描述和评分方法比较；不同届历史学生不是随机对照。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EGJ 的角色是否更合规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每人实际使用常规 AI 和 EGJ 各一站；每站两方法各 4 场。另在同一输入位置比较两条回复。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现场看真实使用质量；同输入看方法差异。两种结果分开报告。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EGJ 的评价是否更准确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32 份完整对话都交给两评分器；教师先独立判断，同一教师参考用于两方法。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控制学生作答不同带来的影响，比较方法的判断准确性。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r>
        <w:t>现场不让同一学生重做同一病例，避免记住答案。四种站点组合和先后顺序事先均衡；在相同站组合与顺序的两人小组内随机分配模式顺序。两站间不展示评分或答案，每站两模式均匀分布在早、晚批次。借鉴交叉设计控制顺序与学习残留的原则，但不同病例的试用不是经典同病交叉试验。</w:t>
      </w:r>
      <w:hyperlink w:anchor="ref_CROSS">
        <w:r>
          <w:rPr>
            <w:color w:val="184E7B"/>
            <w:u w:val="single"/>
            <w:sz w:val="20"/>
            <w:rFonts w:ascii="Times New Roman" w:hAnsi="Times New Roman" w:eastAsia="宋体"/>
          </w:rPr>
          <w:t>[19]</w:t>
        </w:r>
      </w:hyperlink>
      <w:r/>
    </w:p>
    <w:p>
      <w:r>
        <w:t>评分对照提供同一份经校正的完整转写、说话者、原评分表、药学资料和实际提示记录。EGJ 的离线证据图也从这份校正稿重新构建，不用现场 ASR 旧图与常规方法的校正稿比较。现场原始结果另报端到端表现。角色比较只用当时前文及相同权限范围内的资料，不提供后来的答案。</w:t>
      </w:r>
      <w:hyperlink w:anchor="ref_R27">
        <w:r>
          <w:rPr>
            <w:color w:val="184E7B"/>
            <w:u w:val="single"/>
            <w:sz w:val="20"/>
            <w:rFonts w:ascii="Times New Roman" w:hAnsi="Times New Roman" w:eastAsia="宋体"/>
          </w:rPr>
          <w:t>[13]</w:t>
        </w:r>
      </w:hyperlink>
      <w:r/>
      <w:hyperlink w:anchor="ref_R29">
        <w:r>
          <w:rPr>
            <w:color w:val="184E7B"/>
            <w:u w:val="single"/>
            <w:sz w:val="20"/>
            <w:rFonts w:ascii="Times New Roman" w:hAnsi="Times New Roman" w:eastAsia="宋体"/>
          </w:rPr>
          <w:t>[14]</w:t>
        </w:r>
      </w:hyperlink>
      <w:r/>
    </w:p>
    <w:p>
      <w:r>
        <w:t>同输入角色比较，以学生临床提问或建议后的回复尝试为候选，排除纯问候和设备帮助；查看模型结果前按固定随机种子每场抽一处，两方法用截至该句的同一前文，各生成一次，失败不重抽。</w:t>
      </w:r>
    </w:p>
    <w:p>
      <w:r>
        <w:t>16 人提供 32 场咨询、32 个评分方法配对和最多 128 个核心项目判断。它们仍来自 16 名学生。四站都被覆盖，不等于每名学生都考四站，也不等于已经证明整个药学 OSCE 的高风险考试效度。</w:t>
      </w:r>
      <w:hyperlink w:anchor="ref_R19">
        <w:r>
          <w:rPr>
            <w:color w:val="184E7B"/>
            <w:u w:val="single"/>
            <w:sz w:val="20"/>
            <w:rFonts w:ascii="Times New Roman" w:hAnsi="Times New Roman" w:eastAsia="宋体"/>
          </w:rPr>
          <w:t>[11]</w:t>
        </w:r>
      </w:hyperlink>
      <w:r/>
    </w:p>
    <w:p>
      <w:pPr>
        <w:pStyle w:val="Heading1"/>
        <w:pageBreakBefore/>
      </w:pPr>
      <w:r>
        <w:t>10 月 7 日上午的具体排程</w:t>
      </w:r>
    </w:p>
    <w:p>
      <w:r>
        <w:rPr>
          <w:b/>
        </w:rPr>
        <w:t>推荐 16 名学生分八批，每批两人，两人各占一台设备。09:30–09:40 做设备检查和操作提醒；09:40–13:16 完成八批；13:16–13:30 留给故障、中断和收尾。每批 27 分钟，见下表。研究说明与同意尽量在活动前完成，当天只核对，不挤占咨询时间。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5953"/>
        <w:gridCol w:w="1417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每批的相对时间</w:t>
            </w:r>
          </w:p>
        </w:tc>
        <w:tc>
          <w:tcPr>
            <w:tcW w:type="dxa" w:w="595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学生做什么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用时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第 0–2 分钟</w:t>
            </w:r>
          </w:p>
        </w:tc>
        <w:tc>
          <w:tcPr>
            <w:tcW w:type="dxa" w:w="595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阅读第一站任务及允许查看的资料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2 分钟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第 2–12 分钟</w:t>
            </w:r>
          </w:p>
        </w:tc>
        <w:tc>
          <w:tcPr>
            <w:tcW w:type="dxa" w:w="595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第一站自然咨询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最多 10 分钟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第 12–13 分钟</w:t>
            </w:r>
          </w:p>
        </w:tc>
        <w:tc>
          <w:tcPr>
            <w:tcW w:type="dxa" w:w="595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结束、清空会话并切换到第二站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1 分钟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第 13–15 分钟</w:t>
            </w:r>
          </w:p>
        </w:tc>
        <w:tc>
          <w:tcPr>
            <w:tcW w:type="dxa" w:w="595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阅读第二站任务及允许查看的资料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2 分钟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第 15–25 分钟</w:t>
            </w:r>
          </w:p>
        </w:tc>
        <w:tc>
          <w:tcPr>
            <w:tcW w:type="dxa" w:w="595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第二站自然咨询；两站之间不看反馈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最多 10 分钟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第 25–27 分钟</w:t>
            </w:r>
          </w:p>
        </w:tc>
        <w:tc>
          <w:tcPr>
            <w:tcW w:type="dxa" w:w="595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填写五题短问卷；反馈在问卷后提供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2 分钟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r>
        <w:t>常＝常规 AI；EGJ＝本方法。C1 甲癣、C2 偏头痛由 AI 扮演医生；C3 利尿药、C4 MTX 由 AI 扮演病例允许的患者或家属。MTX 线上患者身份按 YT 批注确认，不机械沿用演示视频里的女儿身份。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628"/>
        <w:gridCol w:w="3628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批次与时间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学生一的两站顺序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学生二的两站顺序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1 09:40–10:07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01 甲癣常 → 利尿药EGJ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02 甲癣EGJ → 利尿药常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2 10:07–10:34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03 MTXEGJ → 偏头痛常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04 MTX常 → 偏头痛EGJ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3 10:34–11:01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05 利尿药常 → 偏头痛EGJ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06 利尿药EGJ → 偏头痛常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4 11:01–11:28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07 甲癣EGJ → MTX常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08 甲癣常 → MTXEGJ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5 11:28–11:55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09 利尿药常 → 甲癣EGJ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10 利尿药EGJ → 甲癣常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6 11:55–12:22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11 偏头痛EGJ → MTX常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12 偏头痛常 → MTXEGJ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7 12:22–12:49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13 偏头痛常 → 利尿药EGJ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14 偏头痛EGJ → 利尿药常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8 12:49–13:16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15 MTXEGJ → 甲癣常</w:t>
            </w:r>
          </w:p>
        </w:tc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16 MTX常 → 甲癣EGJ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r>
        <w:t>每站 8 场、两方法各 4；每批一人常规先、一人 EGJ 先。编号在入组后随机分配，不事先将姓名绑定配置；两设备用耳机并隔开，避免互相听到答案。学生提前五分钟到达，迟到不压缩后续。站时长及读题时间需学院确认。</w:t>
      </w:r>
    </w:p>
    <w:p>
      <w:r>
        <w:rPr>
          <w:sz w:val="19"/>
        </w:rPr>
        <w:t>若读题或问卷需要更长，改为 12 人六批，每批 35 分钟，09:40–13:10，留 20 分钟缓冲；每站 6 场、每方法 3 场。四种站点组合各三人，模式与次序尽量均衡。不要临时挤进更多人而删掉读题或记录。</w:t>
      </w:r>
    </w:p>
    <w:p>
      <w:pPr>
        <w:pStyle w:val="Heading1"/>
        <w:pageBreakBefore/>
      </w:pPr>
      <w:r>
        <w:t>实验前当天和结束后各方负责什么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4139"/>
        <w:gridCol w:w="396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13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研究团队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张教授或指定教师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10 月 5–6 日</w:t>
            </w:r>
          </w:p>
        </w:tc>
        <w:tc>
          <w:tcPr>
            <w:tcW w:type="dxa" w:w="413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准备两种模式、任务单、分组与日志；每站试跑一次；用两份试跑材料测教师填写用时；开发记录不进入正式样本。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沿用原要求，确认本站可接受答案、指定提示和纠正政策；确认学生与时长；用两段示例熟悉简单表格。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10 月 7 日上午</w:t>
            </w:r>
          </w:p>
        </w:tc>
        <w:tc>
          <w:tcPr>
            <w:tcW w:type="dxa" w:w="413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两台设备与两个独立会话；提醒读题和换站；只协助设备；录音、转写、实际提示和失败完整保存。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可抽看 20–30 分钟流程并记录教学问题；无需四小时陪同，也无需现场为所有对话评分。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10 月 8–10 日</w:t>
            </w:r>
          </w:p>
        </w:tc>
        <w:tc>
          <w:tcPr>
            <w:tcW w:type="dxa" w:w="413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核对听错的文字，不修正学生原本错误；匿名化；准备音频定位、两份简单表和两种评价；完成统计。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先不看 AI 结果，按原标准给教师参考；再核验分歧。如有第二教师，可独立复评抽取的 8 场。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pPr>
        <w:pStyle w:val="Heading2"/>
      </w:pPr>
      <w:r>
        <w:t>教师的表格和工作量</w:t>
      </w:r>
    </w:p>
    <w:p>
      <w:r>
        <w:t>每场只需一份原评分表或本研究四项简表，教师无需分别为两种评分器做两遍参考。角色表也只勾四个问题；研究团队负责隐藏方法名、提供前文、换算指标和整理分歧。教师不填事件编号、规则图节点或程序短码。</w:t>
      </w:r>
    </w:p>
    <w:p>
      <w:r>
        <w:t>建议主教师核验 32 场。若每场看转写和必要音频并填表需 5–7 分钟，约 2 小时 40 分–3 小时 44 分；64 条同输入角色回复每条约一分钟，再加校准及集中回查，预留约 4.5–6.5 小时，分散在活动后完成。实际用时先以两份试跑确认，不能要求上午顺便完成。</w:t>
      </w:r>
    </w:p>
    <w:p>
      <w:r>
        <w:t>如果主教师最多只能提供约 2.5–3.5 小时，活动前就确定 16 场精读样本：每学生一场，四站各四场，两现场模式各两场，第一和第二站均衡，另核验这 16 场的 32 条角色回复。32 场仍保留，但教师核验的准确性结果限于预定的 16 场；未核验记录不能补进准确率分母。可另邀教师承担剩余记录。</w:t>
      </w:r>
    </w:p>
    <w:p>
      <w:pPr>
        <w:pStyle w:val="Heading2"/>
      </w:pPr>
      <w:r>
        <w:t>10 月 6 日必须完成的检查</w:t>
      </w:r>
    </w:p>
    <w:p>
      <w:r>
        <w:t>两种模式均能独立完成四站，音频播放与录音可用；两会话不会串联；两评分器输出能按原表呈现；学生不会在下一站看到上一站答案；所有失败能留下记录。只有 EGJ 可运行时，改为 EGJ 现场试用加离线常规比较，并明确失去两模式现场比较。</w:t>
      </w:r>
    </w:p>
    <w:p>
      <w:r>
        <w:t>研究说明、录音使用和既有录像复用按学院流程确认。学生自然咨询，既不照脚本念答案，也不故意制造错误。若老师插入药学提示，记录发生位置；设备协助与药学提示分开。由纯技术中断截短的对话不机械算学生漏答，同时保留系统失败。</w:t>
      </w:r>
    </w:p>
    <w:p>
      <w:pPr>
        <w:pStyle w:val="Heading2"/>
      </w:pPr>
      <w:r>
        <w:t>哪些日志必须保存</w:t>
      </w:r>
    </w:p>
    <w:p>
      <w:r>
        <w:t>匿名编号、考站、模式及顺序；模型和材料版本；原始音频与转写；每句话的说话者和时间；实际播出的回复及提示；中断和设备协助；输入快照和两种评分原始结果；教师表及问卷。模型生成了提示草稿但未播放，要与真正发出的提示区分。</w:t>
      </w:r>
    </w:p>
    <w:p>
      <w:pPr>
        <w:pStyle w:val="Heading1"/>
        <w:pageBreakBefore/>
      </w:pPr>
      <w:r>
        <w:t>教师表一 角色表现简单核验表</w:t>
      </w:r>
    </w:p>
    <w:p>
      <w:r>
        <w:t>每场现场对话填一份，也可用于同输入的两条回复比较。研究团队提供匿名完整转写，标出需要看的位置，隐藏方法名称。教师依据本站角色要求勾选；只在“不符合”或“看不清”时写一句原因。角色评价和学生答得好坏分开。</w:t>
      </w:r>
    </w:p>
    <w:p>
      <w:pPr>
        <w:spacing w:line="312" w:lineRule="auto" w:after="140"/>
      </w:pPr>
      <w:r>
        <w:t>记录编号 __________  考站 __________  教师 __________  日期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350"/>
        <w:gridCol w:w="3288"/>
      </w:tblGrid>
      <w:tr>
        <w:trPr>
          <w:cantSplit/>
          <w:tblHeader/>
        </w:trPr>
        <w:tc>
          <w:tcPr>
            <w:tcW w:type="dxa" w:w="63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要检查的问题</w:t>
            </w:r>
          </w:p>
        </w:tc>
        <w:tc>
          <w:tcPr>
            <w:tcW w:type="dxa" w:w="32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教师勾选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1 角色身份和患者情况是否保持一致，没有前后改变病史、用药或身份？</w:t>
            </w:r>
          </w:p>
        </w:tc>
        <w:tc>
          <w:tcPr>
            <w:tcW w:type="dxa" w:w="32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□ 符合  □ 不符合</w:t>
              <w:br/>
              <w:t>□ 本段不涉及  □ 看不清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2 学生触发了应答要求时，角色是否提供了本站应该给出的信息？可答但非必须的信息没出现，不算漏答。</w:t>
            </w:r>
          </w:p>
        </w:tc>
        <w:tc>
          <w:tcPr>
            <w:tcW w:type="dxa" w:w="32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□ 符合  □ 不符合</w:t>
              <w:br/>
              <w:t>□ 本段不涉及  □ 看不清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3 角色是否遵守披露权限，没有提前提供标准答案，也没有把尚未告知的信息当成已知？</w:t>
            </w:r>
          </w:p>
        </w:tc>
        <w:tc>
          <w:tcPr>
            <w:tcW w:type="dxa" w:w="32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□ 符合  □ 不符合</w:t>
              <w:br/>
              <w:t>□ 本段不涉及  □ 看不清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4 如果发出提示，是否属于本站允许的提示，时机和次数是否正确？普通确认不自动算指定提示。</w:t>
            </w:r>
          </w:p>
        </w:tc>
        <w:tc>
          <w:tcPr>
            <w:tcW w:type="dxa" w:w="32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□ 符合  □ 不符合</w:t>
              <w:br/>
              <w:t>□ 本段不涉及  □ 看不清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pPr>
        <w:spacing w:line="312" w:lineRule="auto" w:after="140"/>
      </w:pPr>
      <w:r>
        <w:t>若有问题  第 ___ 项  原话或时间 ______________________________________________</w:t>
      </w:r>
    </w:p>
    <w:p>
      <w:pPr>
        <w:spacing w:line="312" w:lineRule="auto" w:after="140"/>
      </w:pPr>
      <w:r>
        <w:t>简要原因 __________________________________________________________________</w:t>
      </w:r>
    </w:p>
    <w:p>
      <w:pPr>
        <w:spacing w:line="312" w:lineRule="auto" w:after="140"/>
      </w:pPr>
      <w:r>
        <w:t>总体 □ 适用要求均符合  □ 至少一项不符合  □ 资料不足暂不能判断</w:t>
      </w:r>
    </w:p>
    <w:p>
      <w:pPr>
        <w:pStyle w:val="Heading2"/>
      </w:pPr>
      <w:r>
        <w:t>填好的示例</w:t>
      </w:r>
    </w:p>
    <w:p>
      <w:r>
        <w:t>学生刚建议“MTX 每日一次”，患者复述“即係每日食一次？”此前没有其他提示。若本站允许复述确认，教师可勾：第 1 项符合，第 2 项本段不涉及，第 3 项符合，第 4 项本段不涉及；总体为适用要求均符合。学生的每日频次错误在下一张评价表判断，不能归咎患者只是复述。</w:t>
      </w:r>
    </w:p>
    <w:p>
      <w:r>
        <w:t>若患者在学生未说正确用法前，主动补充“应该每星期一次”，而本站并未授权这样提示，第 3 项勾不符合，原因写“患者提前提供考核答案”。这句话是否影响学生等级，交给教师依据学院的干预政策处理。</w:t>
      </w:r>
    </w:p>
    <w:p>
      <w:pPr>
        <w:pStyle w:val="Heading2"/>
      </w:pPr>
      <w:r>
        <w:t>这张表怎样成为角色一致性指标</w:t>
      </w:r>
    </w:p>
    <w:p>
      <w:r>
        <w:t>一份表的所有适用项都符合，记一次角色合规；有任何不符合，记不合规。研究团队记录是哪类错误，不需要教师计算百分比。“看不清”先回查音频，仍不能判断的单列；模型空输出或超时属于系统失败。</w:t>
      </w:r>
    </w:p>
    <w:p>
      <w:r>
        <w:t>同输入比较时，先确定此位置适用的学院要求，再看两条匿名回复。两条回复可以措辞不同，只要均遵守要求都算合规。风格或口音的喜好不混进本研究角色准确性。</w:t>
      </w:r>
    </w:p>
    <w:p>
      <w:pPr>
        <w:pStyle w:val="Heading1"/>
        <w:pageBreakBefore/>
      </w:pPr>
      <w:r>
        <w:t>教师表二 学生表现与评价准确性核验表</w:t>
      </w:r>
    </w:p>
    <w:p>
      <w:r>
        <w:t>教师先按原标准独立勾选学生是否完成各项，之后才查看两种系统结果。下面是各站拟核验的四个核心问题，活动前由张教授确认。它们是研究抽样项目，不能把四项简表冒充整站正式成绩。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8504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考站</w:t>
            </w:r>
          </w:p>
        </w:tc>
        <w:tc>
          <w:tcPr>
            <w:tcW w:type="dxa" w:w="85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四个核心问题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甲癣</w:t>
            </w:r>
          </w:p>
        </w:tc>
        <w:tc>
          <w:tcPr>
            <w:tcW w:type="dxa" w:w="85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① 是否识别本例心衰条件下 itraconazole 应避免；② 是否识别与 atorvastatin 的相互作用；③ 是否提出本站 terbinafine 替代方案；④ 是否给出与本例肾功能相符的 terbinafine 125 mg 每日一次、12 周。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偏头痛</w:t>
            </w:r>
          </w:p>
        </w:tc>
        <w:tc>
          <w:tcPr>
            <w:tcW w:type="dxa" w:w="85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① 是否在建议替代药前询问过敏；② 是否识别病例特定 Cafergot 禁忌；③ 是否提出学院认可的急性替代方案；④ 所选方案的剂量和用法是否正确，不能仅接受一种药名。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利尿药</w:t>
            </w:r>
          </w:p>
        </w:tc>
        <w:tc>
          <w:tcPr>
            <w:tcW w:type="dxa" w:w="85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① 是否在结束前询问过敏；② 是否说明 rosuvastatin 20 mg 每日一次；③ 是否说明出现水肿等液体潴留迹象时，frusemide 20 mg 白天按需、每日最多 20 mg、不自行加量；④ 是否说明心衰症状及对应自我照护。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MTX</w:t>
            </w:r>
          </w:p>
        </w:tc>
        <w:tc>
          <w:tcPr>
            <w:tcW w:type="dxa" w:w="85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① 是否强调每周一次；② 是否正确说明各漏服时间段的处理；③ 是否说明叶酸每周一次且与 MTX 不同日；④ 没有作出双倍 MTX 补漏服的错误建议；漏讲具体处理在②判断。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pPr>
        <w:spacing w:after="100"/>
      </w:pPr>
      <w:r/>
      <w:hyperlink r:id="rId13">
        <w:r>
          <w:rPr>
            <w:color w:val="184E7B"/>
            <w:u w:val="single"/>
            <w:sz w:val="18"/>
            <w:rFonts w:ascii="Times New Roman" w:hAnsi="Times New Roman" w:eastAsia="宋体"/>
          </w:rPr>
          <w:t>甲癣原表</w:t>
        </w:r>
      </w:hyperlink>
      <w:r>
        <w:t xml:space="preserve">　</w:t>
      </w:r>
      <w:hyperlink r:id="rId14">
        <w:r>
          <w:rPr>
            <w:color w:val="184E7B"/>
            <w:u w:val="single"/>
            <w:sz w:val="18"/>
            <w:rFonts w:ascii="Times New Roman" w:hAnsi="Times New Roman" w:eastAsia="宋体"/>
          </w:rPr>
          <w:t>偏头痛原表</w:t>
        </w:r>
      </w:hyperlink>
      <w:r>
        <w:t xml:space="preserve">　</w:t>
      </w:r>
      <w:hyperlink r:id="rId15">
        <w:r>
          <w:rPr>
            <w:color w:val="184E7B"/>
            <w:u w:val="single"/>
            <w:sz w:val="18"/>
            <w:rFonts w:ascii="Times New Roman" w:hAnsi="Times New Roman" w:eastAsia="宋体"/>
          </w:rPr>
          <w:t>利尿药原表</w:t>
        </w:r>
      </w:hyperlink>
      <w:r>
        <w:t xml:space="preserve">　</w:t>
      </w:r>
      <w:hyperlink r:id="rId16">
        <w:r>
          <w:rPr>
            <w:color w:val="184E7B"/>
            <w:u w:val="single"/>
            <w:sz w:val="18"/>
            <w:rFonts w:ascii="Times New Roman" w:hAnsi="Times New Roman" w:eastAsia="宋体"/>
          </w:rPr>
          <w:t>MTX原表</w:t>
        </w:r>
      </w:hyperlink>
      <w:r>
        <w:t xml:space="preserve">　</w:t>
      </w:r>
      <w:hyperlink r:id="rId17">
        <w:r>
          <w:rPr>
            <w:color w:val="184E7B"/>
            <w:u w:val="single"/>
            <w:sz w:val="18"/>
            <w:rFonts w:ascii="Times New Roman" w:hAnsi="Times New Roman" w:eastAsia="宋体"/>
          </w:rPr>
          <w:t>YT 批注第13–15页</w:t>
        </w:r>
      </w:hyperlink>
    </w:p>
    <w:p>
      <w:pPr>
        <w:spacing w:line="312" w:lineRule="auto" w:after="140"/>
      </w:pPr>
      <w:r>
        <w:t>会话编号 __________  考站 __________  教师 __________  日期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本站问题</w:t>
            </w:r>
          </w:p>
        </w:tc>
        <w:tc>
          <w:tcPr>
            <w:tcW w:type="dxa" w:w="34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是否符合原表要求</w:t>
            </w:r>
          </w:p>
        </w:tc>
        <w:tc>
          <w:tcPr>
            <w:tcW w:type="dxa" w:w="45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若需扣分或等级限制 按原表填写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① __________</w:t>
            </w:r>
          </w:p>
        </w:tc>
        <w:tc>
          <w:tcPr>
            <w:tcW w:type="dxa" w:w="34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□ 符合 □ 不符合 □ 无法判断</w:t>
            </w:r>
          </w:p>
        </w:tc>
        <w:tc>
          <w:tcPr>
            <w:tcW w:type="dxa" w:w="45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□ 没有额外后果</w:t>
              <w:br/>
              <w:t>□ 按原表 ______ □ 需复核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② __________</w:t>
            </w:r>
          </w:p>
        </w:tc>
        <w:tc>
          <w:tcPr>
            <w:tcW w:type="dxa" w:w="34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□ 符合 □ 不符合 □ 无法判断</w:t>
            </w:r>
          </w:p>
        </w:tc>
        <w:tc>
          <w:tcPr>
            <w:tcW w:type="dxa" w:w="45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□ 没有额外后果</w:t>
              <w:br/>
              <w:t>□ 按原表 ______ □ 需复核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③ __________</w:t>
            </w:r>
          </w:p>
        </w:tc>
        <w:tc>
          <w:tcPr>
            <w:tcW w:type="dxa" w:w="34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□ 符合 □ 不符合 □ 无法判断</w:t>
            </w:r>
          </w:p>
        </w:tc>
        <w:tc>
          <w:tcPr>
            <w:tcW w:type="dxa" w:w="45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□ 没有额外后果</w:t>
              <w:br/>
              <w:t>□ 按原表 ______ □ 需复核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④ __________</w:t>
            </w:r>
          </w:p>
        </w:tc>
        <w:tc>
          <w:tcPr>
            <w:tcW w:type="dxa" w:w="34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□ 符合 □ 不符合 □ 无法判断</w:t>
            </w:r>
          </w:p>
        </w:tc>
        <w:tc>
          <w:tcPr>
            <w:tcW w:type="dxa" w:w="45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□ 没有额外后果</w:t>
              <w:br/>
              <w:t>□ 按原表 ______ □ 需复核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r>
        <w:rPr>
          <w:sz w:val="19"/>
        </w:rPr>
        <w:t>团队预先印好本站四项，教师只勾选。符合包括完成应做要求或未发生禁止行为；MTX 未主动说“不能双倍”不等于实际建议双倍。</w:t>
      </w:r>
    </w:p>
    <w:p>
      <w:r>
        <w:rPr>
          <w:sz w:val="19"/>
        </w:rPr>
        <w:t>只有部分答出必要要点时勾不符合；原表允许的部分得分仍填右栏，不直接当零分。无法判断是资料不足，不是学生没有回答。</w:t>
      </w:r>
    </w:p>
    <w:p>
      <w:pPr>
        <w:spacing w:line="312" w:lineRule="auto" w:after="140"/>
      </w:pPr>
      <w:r>
        <w:t>仅有提示 更正或分歧时填  第 ___ 项 原句或时间 _________________________________</w:t>
      </w:r>
    </w:p>
    <w:p>
      <w:r>
        <w:rPr>
          <w:sz w:val="19"/>
        </w:rPr>
        <w:t>第 ___ 项：□ 学生自行更正  □ 提示后补充或更正  □ 错误仍未解决  □ 无法判断</w:t>
      </w:r>
    </w:p>
    <w:p>
      <w:r>
        <w:rPr>
          <w:sz w:val="19"/>
        </w:rPr>
        <w:t>整站关键后果：□ 无  □ 原表上限 ____  □ 降级 ____  □ 自动不通过  □ 需复核。若比较正式整站成绩，另填完整原表。关键后果包括未核身份等四项以外要求；团队另报该结论一致率，不将四项简表当作整站成绩。</w:t>
      </w:r>
    </w:p>
    <w:p>
      <w:pPr>
        <w:pStyle w:val="Heading2"/>
      </w:pPr>
      <w:r>
        <w:t>提示和更正的填写例子</w:t>
      </w:r>
    </w:p>
    <w:p>
      <w:r>
        <w:rPr>
          <w:sz w:val="19"/>
        </w:rPr>
        <w:t>甲癣指定风险经允许提示后答对：勾“符合”，右栏填“原表 C+ 上限”。利尿药提示后完整答对：勾“符合”，不沿用甲癣扣分。MTX 先每日后改为每周：勾自行更正，右栏按学院确认的政策填；政策尚不明确时勾需复核，不自行判永久失败或免罚。</w:t>
      </w:r>
    </w:p>
    <w:p>
      <w:pPr>
        <w:pStyle w:val="Heading1"/>
        <w:pageBreakBefore/>
      </w:pPr>
      <w:r>
        <w:t>学生操作说明和可直接填写的短问卷</w:t>
      </w:r>
    </w:p>
    <w:p>
      <w:pPr>
        <w:pStyle w:val="Heading2"/>
      </w:pPr>
      <w:r>
        <w:t>发给学生的操作说明</w:t>
      </w:r>
    </w:p>
    <w:p>
      <w:r>
        <w:t>这次是教学系统研究，不计入课程成绩。每人完成两个不同病例，分别使用两种配置，但不需要知道配置名称。先阅读本站任务和允许资料，按平时方法提问、解释、提出建议或自行更正。不用准备答案脚本。研究助理只协助设备，不提示药学答案。咨询时间按学院确认的设置执行。两站之间不看评分；两站结束先填问卷，再查看反馈。</w:t>
      </w:r>
    </w:p>
    <w:p>
      <w:r>
        <w:t>读题时可以确认操作和任务范围，进入对话后按病例自然发挥。不要输入姓名、学号或真实患者资料。录音和退出规则按研究说明执行；技术问题及时举手，团队记录，不把设备问题计为临床错误。</w:t>
      </w:r>
      <w:hyperlink w:anchor="ref_R01">
        <w:r>
          <w:rPr>
            <w:color w:val="184E7B"/>
            <w:u w:val="single"/>
            <w:sz w:val="20"/>
            <w:rFonts w:ascii="Times New Roman" w:hAnsi="Times New Roman" w:eastAsia="宋体"/>
          </w:rPr>
          <w:t>[2]</w:t>
        </w:r>
      </w:hyperlink>
      <w:r/>
    </w:p>
    <w:p>
      <w:pPr>
        <w:pStyle w:val="Heading2"/>
      </w:pPr>
      <w:r>
        <w:t>两站结束后的问卷</w:t>
      </w:r>
    </w:p>
    <w:p>
      <w:r>
        <w:t>匿名编号 ______  年级 ______  两个病例 ______。每题选一个：1 非常不同意，2 不同意，3 中立，4 同意，5 非常同意，X 无法判断。常规和 EGJ 显示为配置甲、乙，团队另存对应关系；每题各勾甲、乙一行。约两分钟。</w:t>
      </w:r>
    </w:p>
    <w:p>
      <w:pPr>
        <w:spacing w:after="40"/>
      </w:pPr>
      <w:r>
        <w:rPr>
          <w:b/>
        </w:rPr>
        <w:t>1 我能按任务顺利完成咨询，没有操作问题阻断交流。</w:t>
      </w:r>
    </w:p>
    <w:p>
      <w:pPr>
        <w:spacing w:after="180"/>
      </w:pPr>
      <w:r>
        <w:rPr>
          <w:sz w:val="20"/>
        </w:rPr>
        <w:t>甲 □ 1  □ 2  □ 3  □ 4  □ 5  □ X     乙 □ 1  □ 2  □ 3  □ 4  □ 5  □ X</w:t>
      </w:r>
    </w:p>
    <w:p>
      <w:pPr>
        <w:spacing w:after="40"/>
      </w:pPr>
      <w:r>
        <w:rPr>
          <w:b/>
        </w:rPr>
        <w:t>2 对方在对话中保持了明确的医生或患者身份。</w:t>
      </w:r>
    </w:p>
    <w:p>
      <w:pPr>
        <w:spacing w:after="180"/>
      </w:pPr>
      <w:r>
        <w:rPr>
          <w:sz w:val="20"/>
        </w:rPr>
        <w:t>甲 □ 1  □ 2  □ 3  □ 4  □ 5  □ X     乙 □ 1  □ 2  □ 3  □ 4  □ 5  □ X</w:t>
      </w:r>
    </w:p>
    <w:p>
      <w:pPr>
        <w:spacing w:after="40"/>
      </w:pPr>
      <w:r>
        <w:rPr>
          <w:b/>
        </w:rPr>
        <w:t>3 对方前后提供的信息基本一致，没有明显冲突。</w:t>
      </w:r>
    </w:p>
    <w:p>
      <w:pPr>
        <w:spacing w:after="180"/>
      </w:pPr>
      <w:r>
        <w:rPr>
          <w:sz w:val="20"/>
        </w:rPr>
        <w:t>甲 □ 1  □ 2  □ 3  □ 4  □ 5  □ X     乙 □ 1  □ 2  □ 3  □ 4  □ 5  □ X</w:t>
      </w:r>
    </w:p>
    <w:p>
      <w:pPr>
        <w:spacing w:after="40"/>
      </w:pPr>
      <w:r>
        <w:rPr>
          <w:b/>
        </w:rPr>
        <w:t>4 对方的回答和追问与当前咨询有关，能自然继续交流。</w:t>
      </w:r>
    </w:p>
    <w:p>
      <w:pPr>
        <w:spacing w:after="180"/>
      </w:pPr>
      <w:r>
        <w:rPr>
          <w:sz w:val="20"/>
        </w:rPr>
        <w:t>甲 □ 1  □ 2  □ 3  □ 4  □ 5  □ X     乙 □ 1  □ 2  □ 3  □ 4  □ 5  □ X</w:t>
      </w:r>
    </w:p>
    <w:p>
      <w:pPr>
        <w:spacing w:after="40"/>
      </w:pPr>
      <w:r>
        <w:rPr>
          <w:b/>
        </w:rPr>
        <w:t>5 这次咨询适合用于同类病例的练习。</w:t>
      </w:r>
    </w:p>
    <w:p>
      <w:pPr>
        <w:spacing w:after="180"/>
      </w:pPr>
      <w:r>
        <w:rPr>
          <w:sz w:val="20"/>
        </w:rPr>
        <w:t>甲 □ 1  □ 2  □ 3  □ 4  □ 5  □ X     乙 □ 1  □ 2  □ 3  □ 4  □ 5  □ X</w:t>
      </w:r>
    </w:p>
    <w:p>
      <w:pPr>
        <w:spacing w:line="312" w:lineRule="auto" w:after="140"/>
      </w:pPr>
      <w:r>
        <w:t>如果发现明显问题 可选填  配置 ___  原话或时间 _________________________________</w:t>
      </w:r>
    </w:p>
    <w:p>
      <w:r>
        <w:t>问卷在反馈前填，不询问尚未看到的评分准确性。题目为研究自编，先请两名非正式样本试读；逐题报告分布，不合成已验证量表总分，也不用满意度替代教师准确性判断。</w:t>
      </w:r>
      <w:hyperlink w:anchor="ref_R33">
        <w:r>
          <w:rPr>
            <w:color w:val="184E7B"/>
            <w:u w:val="single"/>
            <w:sz w:val="20"/>
            <w:rFonts w:ascii="Times New Roman" w:hAnsi="Times New Roman" w:eastAsia="宋体"/>
          </w:rPr>
          <w:t>[17]</w:t>
        </w:r>
      </w:hyperlink>
      <w:r/>
    </w:p>
    <w:p>
      <w:pPr>
        <w:pStyle w:val="Heading2"/>
      </w:pPr>
      <w:r>
        <w:t>教师的教学意见</w:t>
      </w:r>
    </w:p>
    <w:p>
      <w:pPr>
        <w:spacing w:line="312" w:lineRule="auto" w:after="140"/>
      </w:pPr>
      <w:r>
        <w:t>是否适合形成性练习  □ 是  □ 需修改  □ 暂不适合  原因 __________________________</w:t>
      </w:r>
    </w:p>
    <w:p>
      <w:pPr>
        <w:spacing w:line="312" w:lineRule="auto" w:after="140"/>
      </w:pPr>
      <w:r>
        <w:t>最影响学生发挥的角色问题 ___________________________________________________</w:t>
      </w:r>
    </w:p>
    <w:p>
      <w:pPr>
        <w:spacing w:line="312" w:lineRule="auto" w:after="140"/>
      </w:pPr>
      <w:r>
        <w:t>哪些评分或反馈必须保留教师复核 _____________________________________________</w:t>
      </w:r>
    </w:p>
    <w:p>
      <w:r>
        <w:t>反馈展示可在问卷后进行；如拟开展第二篇反馈研究，需活动前决定是否另外安排短任务。27 分钟排程未包含额外 3–5 分钟访谈。</w:t>
      </w:r>
    </w:p>
    <w:p>
      <w:pPr>
        <w:pStyle w:val="Heading1"/>
        <w:pageBreakBefore/>
      </w:pPr>
      <w:r>
        <w:t>两个核心指标如何计算和解释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4592"/>
        <w:gridCol w:w="2891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具体定义及分母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计划得到的数量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角色一致性</w:t>
              <w:br/>
              <w:t>以角色合规衡量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角色表全部适用项符合的记录数 ÷ 有教师参考的记录数。现场每方法分别计算；同输入回复另作配对计算。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现场常规 16 场、EGJ 16 场；同输入比较从每场抽一个位置，最多 32 对。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评价准确性</w:t>
              <w:br/>
              <w:t>以核心项决策完全一致衡量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是否符合原表要求，以及适用的扣分、上限或复核结论，全部与教师相同的项目数 ÷ 有教师参考的核心项目数。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32 份对话 × 4 项＝128 项；每项两方法都判断。四项全对及整站关键后果另报。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r>
        <w:t>示例仅说明计算：假如同一批 128 项中，常规 100 项与教师完全一致、EGJ 116 项一致，则为 78.1% 与 90.6%，差 12.5 个百分点。这不是实验结果。若某项虽判完成却漏掉规定上限，该项不计为一致。</w:t>
      </w:r>
    </w:p>
    <w:p>
      <w:pPr>
        <w:pStyle w:val="Heading2"/>
      </w:pPr>
      <w:r>
        <w:t>与人工标准怎样连起来</w:t>
      </w:r>
    </w:p>
    <w:p>
      <w:r>
        <w:t>教师以学院原标准核验两方法，并事先确认哪些关键错误不可接受、哪些质量达到练习要求。最终表同时列人工已知基准、常规 AI、EGJ；没有原始人工数据的单元写“未取得可比记录”。学生通过率是学生成绩，不是系统判断准确率；高通过率不能证明系统评价正确。</w:t>
      </w:r>
      <w:hyperlink w:anchor="ref_R17">
        <w:r>
          <w:rPr>
            <w:color w:val="184E7B"/>
            <w:u w:val="single"/>
            <w:sz w:val="20"/>
            <w:rFonts w:ascii="Times New Roman" w:hAnsi="Times New Roman" w:eastAsia="宋体"/>
          </w:rPr>
          <w:t>[10]</w:t>
        </w:r>
      </w:hyperlink>
      <w:r/>
      <w:hyperlink w:anchor="ref_R19">
        <w:r>
          <w:rPr>
            <w:color w:val="184E7B"/>
            <w:u w:val="single"/>
            <w:sz w:val="20"/>
            <w:rFonts w:ascii="Times New Roman" w:hAnsi="Times New Roman" w:eastAsia="宋体"/>
          </w:rPr>
          <w:t>[11]</w:t>
        </w:r>
      </w:hyperlink>
      <w:r/>
      <w:hyperlink w:anchor="ref_R20">
        <w:r>
          <w:rPr>
            <w:color w:val="184E7B"/>
            <w:u w:val="single"/>
            <w:sz w:val="20"/>
            <w:rFonts w:ascii="Times New Roman" w:hAnsi="Times New Roman" w:eastAsia="宋体"/>
          </w:rPr>
          <w:t>[12]</w:t>
        </w:r>
      </w:hyperlink>
      <w:r/>
    </w:p>
    <w:p>
      <w:pPr>
        <w:pStyle w:val="Heading2"/>
      </w:pPr>
      <w:r>
        <w:t>样本充分到什么程度</w:t>
      </w:r>
    </w:p>
    <w:p>
      <w:r>
        <w:t>本次定位为受资源约束的四站试点，样本依据是排程、试点目的和估计精度。16 人可检验流程和较明显的错误类型，不能保证检出小幅优势。每方法现场只有 16 场；即使全合规，在理想独立二元观测假设下 Wilson 95% 下界也约 80.6%。每站四场不能证明普遍可靠。</w:t>
      </w:r>
      <w:hyperlink w:anchor="ref_R18">
        <w:r>
          <w:rPr>
            <w:color w:val="184E7B"/>
            <w:u w:val="single"/>
            <w:sz w:val="20"/>
            <w:rFonts w:ascii="Times New Roman" w:hAnsi="Times New Roman" w:eastAsia="宋体"/>
          </w:rPr>
          <w:t>[16]</w:t>
        </w:r>
      </w:hyperlink>
      <w:r/>
      <w:hyperlink w:anchor="ref_PILOT">
        <w:r>
          <w:rPr>
            <w:color w:val="184E7B"/>
            <w:u w:val="single"/>
            <w:sz w:val="20"/>
            <w:rFonts w:ascii="Times New Roman" w:hAnsi="Times New Roman" w:eastAsia="宋体"/>
          </w:rPr>
          <w:t>[18]</w:t>
        </w:r>
      </w:hyperlink>
      <w:r/>
      <w:hyperlink w:anchor="ref_STATCI">
        <w:r>
          <w:rPr>
            <w:color w:val="184E7B"/>
            <w:u w:val="single"/>
            <w:sz w:val="20"/>
            <w:rFonts w:ascii="Times New Roman" w:hAnsi="Times New Roman" w:eastAsia="宋体"/>
          </w:rPr>
          <w:t>[20]</w:t>
        </w:r>
      </w:hyperlink>
      <w:r/>
    </w:p>
    <w:p>
      <w:r>
        <w:t>两站、多条回复和四项判断来自同一学生，真人差值区间以学生为单位成组重采样，保留该学生的全部记录；小样本区间作为探索性估计。按站及模式分层展示结果，避免把病例难度当成方法效果。若区间仍包含无差异，应据实说明未证明优势，不写成两方法等效。</w:t>
      </w:r>
    </w:p>
    <w:p>
      <w:r>
        <w:t>受控模拟以独立脚本为单位配对；同输入二元合规可用预定的配对分析，并报告区间和分歧数。不同释义或重复运行仍属于原脚本，不增加独立样本。真人与模拟分开；若两方法全部成功导致重采样差值恒为零，仍报告原始样本及有限精度，不把零宽区间当作已经证明等效。</w:t>
      </w:r>
      <w:hyperlink w:anchor="ref_STATMC">
        <w:r>
          <w:rPr>
            <w:color w:val="184E7B"/>
            <w:u w:val="single"/>
            <w:sz w:val="20"/>
            <w:rFonts w:ascii="Times New Roman" w:hAnsi="Times New Roman" w:eastAsia="宋体"/>
          </w:rPr>
          <w:t>[21]</w:t>
        </w:r>
      </w:hyperlink>
      <w:r/>
    </w:p>
    <w:p>
      <w:pPr>
        <w:pStyle w:val="Heading2"/>
      </w:pPr>
      <w:r>
        <w:t>缺失及复评</w:t>
      </w:r>
    </w:p>
    <w:p>
      <w:r>
        <w:t>空输出、超时和无有效评分记系统失败；无法形成教师参考的缺失单列。撤回数据按学院流程处理。二教师若可参与，预选 8 场，四站和两模式均覆盖，独立填表后讨论；保留原始分歧。仅一教师时称单专家参考，不能报告已经完成评分员间可靠性。</w:t>
      </w:r>
    </w:p>
    <w:p>
      <w:pPr>
        <w:pStyle w:val="Heading1"/>
        <w:pageBreakBefore/>
      </w:pPr>
      <w:r>
        <w:t>受控模拟怎样补充真人试用</w:t>
      </w:r>
    </w:p>
    <w:p>
      <w:r>
        <w:t>自然咨询未必出现提示、纠正或药物混淆。研究团队另准备 16 个短脚本，每站四个，覆盖来源归属、提示后果、药物与患者条件、错误纠正四种机制。每脚本约 6–10 句，教师只核验指定的一次角色动作和一个评价问题，不要求学生演这些脚本。用原标准给参考，模拟不替代真人临床核验。</w:t>
      </w:r>
      <w:hyperlink w:anchor="ref_R14">
        <w:r>
          <w:rPr>
            <w:color w:val="184E7B"/>
            <w:u w:val="single"/>
            <w:sz w:val="20"/>
            <w:rFonts w:ascii="Times New Roman" w:hAnsi="Times New Roman" w:eastAsia="宋体"/>
          </w:rPr>
          <w:t>[6]</w:t>
        </w:r>
      </w:hyperlink>
      <w:r/>
      <w:hyperlink w:anchor="ref_R30">
        <w:r>
          <w:rPr>
            <w:color w:val="184E7B"/>
            <w:u w:val="single"/>
            <w:sz w:val="20"/>
            <w:rFonts w:ascii="Times New Roman" w:hAnsi="Times New Roman" w:eastAsia="宋体"/>
          </w:rPr>
          <w:t>[15]</w:t>
        </w:r>
      </w:hyperlink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脚本类型</w:t>
            </w:r>
          </w:p>
        </w:tc>
        <w:tc>
          <w:tcPr>
            <w:tcW w:type="dxa" w:w="76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例子和预期检查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来源归属</w:t>
            </w:r>
          </w:p>
        </w:tc>
        <w:tc>
          <w:tcPr>
            <w:tcW w:type="dxa" w:w="76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学生说“MTX 每日一次”，患者复述。检查患者是否越权纠正，以及评分是否误把患者复述当作学生答对。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提示后果</w:t>
            </w:r>
          </w:p>
        </w:tc>
        <w:tc>
          <w:tcPr>
            <w:tcW w:type="dxa" w:w="76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甲癣指定提示已实际发出，学生随后补答。检查角色提示是否合规，评分是否保留原表上限。另以草稿未发出作反例。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药物和患者条件</w:t>
            </w:r>
          </w:p>
        </w:tc>
        <w:tc>
          <w:tcPr>
            <w:tcW w:type="dxa" w:w="76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一个答案中分别谈及不同药物用法，检查系统是否把一种药的剂量错绑定给另一药；以原病例条件核验，不新编临床标准。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错误与纠正</w:t>
            </w:r>
          </w:p>
        </w:tc>
        <w:tc>
          <w:tcPr>
            <w:tcW w:type="dxa" w:w="76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学生先给错误 MTX 频次再主动更正。检查保留历史与当前纠正状态；最终后果按教授确认的政策，未明确时应复核。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pPr>
        <w:pStyle w:val="Heading2"/>
      </w:pPr>
      <w:r>
        <w:t>只做一个机制消融</w:t>
      </w:r>
    </w:p>
    <w:p>
      <w:r>
        <w:t>消融就是保持同一段输入和其余功能不变，只关闭一条待验证关系。这里关闭“实际角色提示影响评价后果”的连接：完整 EGJ 和关闭连接的版本都应认出学生后来已答对；差别只在是否把实际指定提示对应的学院上限传到结果。</w:t>
      </w:r>
    </w:p>
    <w:p>
      <w:r>
        <w:t>甲癣例：提示发出→学生答对。完整 EGJ 应给“完成并保留原表上限”；关闭连接版本可能只给“完成”。若提示仅为未播放草稿，或只是普通澄清，两版本都不应无故套用上限。一个正例和两个反例能说明连接是否按条件工作，而不是为了扣分而扣分。</w:t>
      </w:r>
    </w:p>
    <w:p>
      <w:r>
        <w:t>这一检查在站后离线完成，不增加学生时间，不做五个系统版本。两版本用同一份已抽取证据，排除抽取波动；正式主比较仍是常规 AI 与完整 EGJ。教师无需知道程序开关，只确认输入事实和原表应有后果。</w:t>
      </w:r>
      <w:hyperlink w:anchor="ref_R30">
        <w:r>
          <w:rPr>
            <w:color w:val="184E7B"/>
            <w:u w:val="single"/>
            <w:sz w:val="20"/>
            <w:rFonts w:ascii="Times New Roman" w:hAnsi="Times New Roman" w:eastAsia="宋体"/>
          </w:rPr>
          <w:t>[15]</w:t>
        </w:r>
      </w:hyperlink>
      <w:r/>
    </w:p>
    <w:p>
      <w:pPr>
        <w:pStyle w:val="Heading2"/>
      </w:pPr>
      <w:r>
        <w:t>模拟的数量和工作量</w:t>
      </w:r>
    </w:p>
    <w:p>
      <w:r>
        <w:t>16 个独立短脚本用于机制试点，每脚本两方法各运行一次；角色形成 16 对回复，评分形成 16 对核心判断。教师预计每脚本 3–5 分钟，加四例校准，约 1–2 小时。它不能保证统计显著，需另报成功数、分歧与区间。</w:t>
      </w:r>
    </w:p>
    <w:p>
      <w:r>
        <w:t>若后续要更充分的算法结论，可按四站蓝图扩至约 80–104 个独立临床情境，并核验全部参考；一句话的五种说法仍算同一情境。假定两方法差 20 个百分点、不一致占 30%，双侧 α=.05、80% 功效的近似数量约 57；差 15 点、不一致占 25% 时约 85。两个主要指标用 α=.025 时约为 69 与 103。这些是假设敏感性计算，不是已有效果，扩展前需重算。</w:t>
      </w:r>
      <w:hyperlink w:anchor="ref_R18">
        <w:r>
          <w:rPr>
            <w:color w:val="184E7B"/>
            <w:u w:val="single"/>
            <w:sz w:val="20"/>
            <w:rFonts w:ascii="Times New Roman" w:hAnsi="Times New Roman" w:eastAsia="宋体"/>
          </w:rPr>
          <w:t>[16]</w:t>
        </w:r>
      </w:hyperlink>
      <w:r/>
      <w:hyperlink w:anchor="ref_STATMC">
        <w:r>
          <w:rPr>
            <w:color w:val="184E7B"/>
            <w:u w:val="single"/>
            <w:sz w:val="20"/>
            <w:rFonts w:ascii="Times New Roman" w:hAnsi="Times New Roman" w:eastAsia="宋体"/>
          </w:rPr>
          <w:t>[21]</w:t>
        </w:r>
      </w:hyperlink>
      <w:r/>
    </w:p>
    <w:p>
      <w:pPr>
        <w:pStyle w:val="Heading1"/>
        <w:pageBreakBefore/>
      </w:pPr>
      <w:r>
        <w:t>活动前需要与张教授确认的问题</w:t>
      </w:r>
    </w:p>
    <w:p>
      <w:r>
        <w:rPr>
          <w:b/>
        </w:rPr>
        <w:t>这些确认决定本次能回答什么问题，也决定教师表是否可直接沿用原要求。希望在 10 月 6 日前形成明确记录。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690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需要确认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希望得到的决定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1 学院怎样评价人工 OSCE 是否成功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已有角色标准化、评分一致性、学生体验或组织成本指标是什么；哪些可用于 AI，阈值和不可接受错误如何预先确定。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2 有哪些可比人工材料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是否有四站同版本的人工考试录像、匿名逐项评分和允许复用的授权；演示视频不能当作真实考试基准。若没有，采用“达到学院要求”的结论。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3 本次 16 人是否可招募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相应课程和年级、病例熟悉程度；每站读题 2 分钟和咨询 10 分钟是否合理；问卷两分钟是否足够；否则改 12 人方案。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4 原评分标准哪些需澄清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MTX 自行更正后的最终后果；系统越权泄露答案如何复核；甲癣、偏头痛各指定提示限制；认可替代药是否沿用原提示上限。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5 谁承担核验及多少时间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主教师是否可在活动后投入约 4.5–6.5 小时，或采用 16 场、约 2.5–3.5 小时版本；有无第二教师复评 8 场；16 个模拟脚本另需约 1–2 小时。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6 活动的研究与数据安排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研究批准、录音同意、匿名化、既有录像复用、数据保留及可公开范围；系统失败和学生退出怎样记录。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pPr>
        <w:pStyle w:val="Heading2"/>
      </w:pPr>
      <w:r>
        <w:t>如果一定要当天加入人工角色</w:t>
      </w:r>
    </w:p>
    <w:p>
      <w:r>
        <w:t>需要另有受训角色和可用时间，不能让一位教师同时扮演、独立评分并照管两台设备。可改为更小的三条件试点，例如 8 人各做三个不同站；必须重新均衡排程。它会减少两 AI 的真实样本，不作为当前推荐方案。没有旧人工记录时，优先保证本次两 AI 对照和教师达标核验，之后补同病例人工组。</w:t>
      </w:r>
    </w:p>
    <w:p>
      <w:pPr>
        <w:pStyle w:val="Heading2"/>
      </w:pPr>
      <w:r>
        <w:t>现有数据还能支持什么研究</w:t>
      </w:r>
    </w:p>
    <w:p>
      <w:r>
        <w:t>建议主论文集中在角色合规和评分准确性。若学院更关心 AI 是否适合形成性练习，可另研究“反馈是否有临床依据，学生能否据此提出具体改进”。它需要教师对反馈建议的正确性核验，并让学生完成一条反馈对应原话和下一次做法的短任务；当前两分钟问卷不足以支撑这篇。</w:t>
      </w:r>
    </w:p>
    <w:p>
      <w:r>
        <w:t>新增任务可在活动后自愿线上完成，记录响应人数和选择偏差。第二篇应有独立问题和新增评价，说明与 EGJ 论文共享对话，不把同一结果改标题重复发表。没有前后测或对照，只能讨论反馈理解与可行动性，不能声称提高学习成绩。</w:t>
      </w:r>
      <w:hyperlink w:anchor="ref_R33">
        <w:r>
          <w:rPr>
            <w:color w:val="184E7B"/>
            <w:u w:val="single"/>
            <w:sz w:val="20"/>
            <w:rFonts w:ascii="Times New Roman" w:hAnsi="Times New Roman" w:eastAsia="宋体"/>
          </w:rPr>
          <w:t>[17]</w:t>
        </w:r>
      </w:hyperlink>
      <w:r/>
      <w:hyperlink w:anchor="ref_R17">
        <w:r>
          <w:rPr>
            <w:color w:val="184E7B"/>
            <w:u w:val="single"/>
            <w:sz w:val="20"/>
            <w:rFonts w:ascii="Times New Roman" w:hAnsi="Times New Roman" w:eastAsia="宋体"/>
          </w:rPr>
          <w:t>[10]</w:t>
        </w:r>
      </w:hyperlink>
      <w:r/>
      <w:hyperlink w:anchor="ref_IEEE">
        <w:r>
          <w:rPr>
            <w:color w:val="184E7B"/>
            <w:u w:val="single"/>
            <w:sz w:val="20"/>
            <w:rFonts w:ascii="Times New Roman" w:hAnsi="Times New Roman" w:eastAsia="宋体"/>
          </w:rPr>
          <w:t>[22]</w:t>
        </w:r>
      </w:hyperlink>
      <w:r/>
    </w:p>
    <w:p>
      <w:pPr>
        <w:pStyle w:val="Heading1"/>
        <w:pageBreakBefore/>
      </w:pPr>
      <w:r>
        <w:t>参考文献与本方案借鉴内容</w:t>
      </w:r>
    </w:p>
    <w:p>
      <w:r>
        <w:rPr>
          <w:sz w:val="19"/>
        </w:rPr>
        <w:t>编号可由正文点击跳转。原论文链接保留外部来源；已有全文附本地 PDF。中文定位说明给出本方案具体借鉴内容。学院原表及教师批注见第 6 页。</w:t>
      </w:r>
    </w:p>
    <w:p>
      <w:bookmarkStart w:id="1" w:name="ref_STURPE"/>
      <w:pPr>
        <w:keepNext/>
        <w:spacing w:after="40" w:line="247" w:lineRule="auto"/>
      </w:pPr>
      <w:r>
        <w:rPr>
          <w:sz w:val="18"/>
        </w:rPr>
        <w:t>[1] D. A. Sturpe. Objective Structured Clinical Examinations in Doctor of Pharmacy Programs in the United States. AJPE 74(8):148, 2010.</w:t>
      </w:r>
      <w:bookmarkEnd w:id="1"/>
    </w:p>
    <w:p>
      <w:pPr>
        <w:keepNext/>
        <w:spacing w:after="40" w:line="247" w:lineRule="auto"/>
      </w:pPr>
      <w:r>
        <w:rPr>
          <w:sz w:val="18"/>
        </w:rPr>
        <w:t>Introduction、Methods、Discussion；支持传统药学 OSCE 的组织和资源问题，不代表 CUHK 当前成本。</w:t>
      </w:r>
    </w:p>
    <w:p>
      <w:pPr>
        <w:spacing w:after="140" w:line="240" w:lineRule="auto"/>
      </w:pPr>
      <w:r/>
      <w:hyperlink r:id="rId18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19">
        <w:r>
          <w:rPr>
            <w:color w:val="184E7B"/>
            <w:u w:val="single"/>
            <w:sz w:val="18"/>
            <w:rFonts w:ascii="Times New Roman" w:hAnsi="Times New Roman" w:eastAsia="宋体"/>
          </w:rPr>
          <w:t>公开正文</w:t>
        </w:r>
      </w:hyperlink>
    </w:p>
    <w:p>
      <w:bookmarkStart w:id="2" w:name="ref_R01"/>
      <w:pPr>
        <w:keepNext/>
        <w:spacing w:after="40" w:line="247" w:lineRule="auto"/>
      </w:pPr>
      <w:r>
        <w:rPr>
          <w:sz w:val="18"/>
        </w:rPr>
        <w:t>[2] Karen L. Lewis et al.. The Association of Standardized Patient Educators (ASPE) Standards of Best Practice (SOBP). Advances in Simulation 2:10, 2017.</w:t>
      </w:r>
      <w:bookmarkEnd w:id="2"/>
    </w:p>
    <w:p>
      <w:pPr>
        <w:keepNext/>
        <w:spacing w:after="40" w:line="247" w:lineRule="auto"/>
      </w:pPr>
      <w:r>
        <w:rPr>
          <w:sz w:val="18"/>
        </w:rPr>
        <w:t>PDF 5–6，§2.2.8–2.2.10、§3.4；支持角色标准化、统一简报及准确评价，不规定人数。</w:t>
      </w:r>
    </w:p>
    <w:p>
      <w:pPr>
        <w:spacing w:after="140" w:line="240" w:lineRule="auto"/>
      </w:pPr>
      <w:r/>
      <w:hyperlink r:id="rId20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21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22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3" w:name="ref_R03"/>
      <w:pPr>
        <w:keepNext/>
        <w:spacing w:after="40" w:line="247" w:lineRule="auto"/>
      </w:pPr>
      <w:r>
        <w:rPr>
          <w:sz w:val="18"/>
        </w:rPr>
        <w:t>[3] S. Bakhaya, E. C. Lehnbom et al.. Development and evaluation of AI chatbot tool for written communication training in self-care: Experiences of pharmacy students and faculty. Currents in Pharmacy Teaching and Learning, 2026.</w:t>
      </w:r>
      <w:bookmarkEnd w:id="3"/>
    </w:p>
    <w:p>
      <w:pPr>
        <w:keepNext/>
        <w:spacing w:after="40" w:line="247" w:lineRule="auto"/>
      </w:pPr>
      <w:r>
        <w:rPr>
          <w:sz w:val="18"/>
        </w:rPr>
        <w:t>PDF 5，Variation matters、Feeling seen；9 名学生与 5 名教师的质性发现，不是错误发生率。</w:t>
      </w:r>
    </w:p>
    <w:p>
      <w:pPr>
        <w:spacing w:after="140" w:line="240" w:lineRule="auto"/>
      </w:pPr>
      <w:r/>
      <w:hyperlink r:id="rId23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24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25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4" w:name="ref_R34"/>
      <w:pPr>
        <w:keepNext/>
        <w:spacing w:after="40" w:line="247" w:lineRule="auto"/>
      </w:pPr>
      <w:r>
        <w:rPr>
          <w:sz w:val="18"/>
        </w:rPr>
        <w:t>[4] Yann Hicke, Jadon Geathers et al.. MedSimAI: Simulation and Formative Feedback Generation to Enhance Deliberate Practice in Medical Education. LAK, 2026.</w:t>
      </w:r>
      <w:bookmarkEnd w:id="4"/>
    </w:p>
    <w:p>
      <w:pPr>
        <w:keepNext/>
        <w:spacing w:after="40" w:line="247" w:lineRule="auto"/>
      </w:pPr>
      <w:r>
        <w:rPr>
          <w:sz w:val="18"/>
        </w:rPr>
        <w:t>作者稿 PDF 5–7，§4.1–4.2、§5.1.2、§5.2.3；结构化角色、全历史和逐项 rubric 是可用强基线，已有证据引用，不应写成完全无约束。</w:t>
      </w:r>
    </w:p>
    <w:p>
      <w:pPr>
        <w:spacing w:after="140" w:line="240" w:lineRule="auto"/>
      </w:pPr>
      <w:r/>
      <w:hyperlink r:id="rId26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27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28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5" w:name="ref_SOURIAL"/>
      <w:pPr>
        <w:keepNext/>
        <w:spacing w:after="40" w:line="247" w:lineRule="auto"/>
      </w:pPr>
      <w:r>
        <w:rPr>
          <w:sz w:val="18"/>
        </w:rPr>
        <w:t>[5] M. Sourial, J. C. Hagler. A Pilot Study Using Artificial Intelligence to Enhance Efficiency, Accuracy, and Objectivity in Grading Pharmacy Objective Structured Clinical Examinations. AJPE 89(8):101455, 2025.</w:t>
      </w:r>
      <w:bookmarkEnd w:id="5"/>
    </w:p>
    <w:p>
      <w:pPr>
        <w:keepNext/>
        <w:spacing w:after="40" w:line="247" w:lineRule="auto"/>
      </w:pPr>
      <w:r>
        <w:rPr>
          <w:sz w:val="18"/>
        </w:rPr>
        <w:t>公开摘要仅确认药学自动评分已有研究；未取得全文，不采用其准确率或方法细节作本方案依据。</w:t>
      </w:r>
    </w:p>
    <w:p>
      <w:pPr>
        <w:spacing w:after="140" w:line="240" w:lineRule="auto"/>
      </w:pPr>
      <w:r/>
      <w:hyperlink r:id="rId29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30">
        <w:r>
          <w:rPr>
            <w:color w:val="184E7B"/>
            <w:u w:val="single"/>
            <w:sz w:val="18"/>
            <w:rFonts w:ascii="Times New Roman" w:hAnsi="Times New Roman" w:eastAsia="宋体"/>
          </w:rPr>
          <w:t>官方摘要</w:t>
        </w:r>
      </w:hyperlink>
    </w:p>
    <w:p>
      <w:bookmarkStart w:id="6" w:name="ref_R14"/>
      <w:pPr>
        <w:keepNext/>
        <w:spacing w:after="40" w:line="247" w:lineRule="auto"/>
      </w:pPr>
      <w:r>
        <w:rPr>
          <w:sz w:val="18"/>
        </w:rPr>
        <w:t>[6] Tian Huang, Tom Bourgeade et al.. LLM-Based Data Generation and Clinical Skills Evaluation for Low-Resource French OSCEs. LREC, 2026.</w:t>
      </w:r>
      <w:bookmarkEnd w:id="6"/>
    </w:p>
    <w:p>
      <w:pPr>
        <w:keepNext/>
        <w:spacing w:after="40" w:line="247" w:lineRule="auto"/>
      </w:pPr>
      <w:r>
        <w:rPr>
          <w:sz w:val="18"/>
        </w:rPr>
        <w:t>PDF 5，§3.2；信息出现在对话与学生主动询问不同。PDF 6，§4.3；逐项分解复合规则。研究重测一致性不等于与 CUHK 教师一致。</w:t>
      </w:r>
    </w:p>
    <w:p>
      <w:pPr>
        <w:spacing w:after="140" w:line="240" w:lineRule="auto"/>
      </w:pPr>
      <w:r/>
      <w:hyperlink r:id="rId31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32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33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7" w:name="ref_R23"/>
      <w:pPr>
        <w:keepNext/>
        <w:spacing w:after="40" w:line="247" w:lineRule="auto"/>
      </w:pPr>
      <w:r>
        <w:rPr>
          <w:sz w:val="18"/>
        </w:rPr>
        <w:t>[7] CMM in Primary Care Research Team. The Patient Care Process for Delivering Comprehensive Medication Management (CMM): Optimizing Medication Use in Patient-Centered, Team-Based Care Settings. ACCP 公开专业实践文件；非算法实验论文, 2018.</w:t>
      </w:r>
      <w:bookmarkEnd w:id="7"/>
    </w:p>
    <w:p>
      <w:pPr>
        <w:keepNext/>
        <w:spacing w:after="40" w:line="247" w:lineRule="auto"/>
      </w:pPr>
      <w:r>
        <w:rPr>
          <w:sz w:val="18"/>
        </w:rPr>
        <w:t>PDF 7–8，药物评估与 IESA；适应证、有效性、安全性、依从性。专业实践文件，不是算法试验。</w:t>
      </w:r>
    </w:p>
    <w:p>
      <w:pPr>
        <w:spacing w:after="140" w:line="240" w:lineRule="auto"/>
      </w:pPr>
      <w:r/>
      <w:hyperlink r:id="rId34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35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36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8" w:name="ref_R07"/>
      <w:pPr>
        <w:keepNext/>
        <w:spacing w:after="40" w:line="247" w:lineRule="auto"/>
      </w:pPr>
      <w:r>
        <w:rPr>
          <w:sz w:val="18"/>
        </w:rPr>
        <w:t>[8] Xi Chen, Jie Mu et al.. Graph-Structured Rubrics: Compiling Rubrics into Typed Evaluation Graphs for LLM Judges. arXiv 预印本, 2026.</w:t>
      </w:r>
      <w:bookmarkEnd w:id="8"/>
    </w:p>
    <w:p>
      <w:pPr>
        <w:keepNext/>
        <w:spacing w:after="40" w:line="247" w:lineRule="auto"/>
      </w:pPr>
      <w:r>
        <w:rPr>
          <w:sz w:val="18"/>
        </w:rPr>
        <w:t>公开稿 PDF 3–5，Compile、Execute、Reduce/Gate；图准则编译已有先例。本条为预印本。</w:t>
      </w:r>
    </w:p>
    <w:p>
      <w:pPr>
        <w:spacing w:after="140" w:line="240" w:lineRule="auto"/>
      </w:pPr>
      <w:r/>
      <w:hyperlink r:id="rId37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38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39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9" w:name="ref_R24"/>
      <w:pPr>
        <w:keepNext/>
        <w:spacing w:after="40" w:line="247" w:lineRule="auto"/>
      </w:pPr>
      <w:r>
        <w:rPr>
          <w:sz w:val="18"/>
        </w:rPr>
        <w:t>[9] Zirong Chen, Ziyan An et al.. LogiDebrief: A Signal-Temporal Logic Based Automated Debriefing Approach with Large Language Models Integration. IJCAI:9582–9590, 2025.</w:t>
      </w:r>
      <w:bookmarkEnd w:id="9"/>
    </w:p>
    <w:p>
      <w:pPr>
        <w:keepNext/>
        <w:spacing w:after="40" w:line="247" w:lineRule="auto"/>
      </w:pPr>
      <w:r>
        <w:rPr>
          <w:sz w:val="18"/>
        </w:rPr>
        <w:t>PDF 3，§4.1–4.2；PDF 5，Table 1；双方行为和时序已有研究，EGJ 增量在实际角色干预对后续执行及评价的共同影响。</w:t>
      </w:r>
    </w:p>
    <w:p>
      <w:pPr>
        <w:spacing w:after="140" w:line="240" w:lineRule="auto"/>
      </w:pPr>
      <w:r/>
      <w:hyperlink r:id="rId40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41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42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0" w:name="ref_R17"/>
      <w:pPr>
        <w:keepNext/>
        <w:spacing w:after="40" w:line="247" w:lineRule="auto"/>
      </w:pPr>
      <w:r>
        <w:rPr>
          <w:sz w:val="18"/>
        </w:rPr>
        <w:t>[10] David A. Cook, Rose Hatala. Validation of educational assessments: a primer for simulation and beyond. Advances in Simulation 1:31, 2016.</w:t>
      </w:r>
      <w:bookmarkEnd w:id="10"/>
    </w:p>
    <w:p>
      <w:pPr>
        <w:keepNext/>
        <w:spacing w:after="40" w:line="247" w:lineRule="auto"/>
      </w:pPr>
      <w:r>
        <w:rPr>
          <w:sz w:val="18"/>
        </w:rPr>
        <w:t>PDF 4、6，Table 3–4；评价证据必须匹配用途，历史成绩不能直接证明新系统优于人工。</w:t>
      </w:r>
    </w:p>
    <w:p>
      <w:pPr>
        <w:spacing w:after="140" w:line="240" w:lineRule="auto"/>
      </w:pPr>
      <w:r/>
      <w:hyperlink r:id="rId43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44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45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1" w:name="ref_R19"/>
      <w:pPr>
        <w:keepNext/>
        <w:spacing w:after="40" w:line="247" w:lineRule="auto"/>
      </w:pPr>
      <w:r>
        <w:rPr>
          <w:sz w:val="18"/>
        </w:rPr>
        <w:t>[11] Michael J. Peeters, M. Kenneth Cor et al.. Validation Evidence using Generalizability Theory for an Objective Structured Clinical Examination. INNOVATIONS in pharmacy 12(1):15, 2021.</w:t>
      </w:r>
      <w:bookmarkEnd w:id="11"/>
    </w:p>
    <w:p>
      <w:pPr>
        <w:keepNext/>
        <w:spacing w:after="40" w:line="247" w:lineRule="auto"/>
      </w:pPr>
      <w:r>
        <w:rPr>
          <w:sz w:val="18"/>
        </w:rPr>
        <w:t>PDF 2，考站、评分与统计设计；PDF 4–5，可靠性和局限。97 人、14 站属其自身研究，不能照搬为本研究最低人数或最低站数。</w:t>
      </w:r>
    </w:p>
    <w:p>
      <w:pPr>
        <w:spacing w:after="140" w:line="240" w:lineRule="auto"/>
      </w:pPr>
      <w:r/>
      <w:hyperlink r:id="rId46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47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48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pPr>
        <w:pStyle w:val="Heading1"/>
        <w:pageBreakBefore/>
      </w:pPr>
      <w:r>
        <w:t>参考文献与本方案借鉴内容续</w:t>
      </w:r>
    </w:p>
    <w:p>
      <w:bookmarkStart w:id="12" w:name="ref_R20"/>
      <w:pPr>
        <w:keepNext/>
        <w:spacing w:after="40" w:line="247" w:lineRule="auto"/>
      </w:pPr>
      <w:r>
        <w:rPr>
          <w:sz w:val="18"/>
        </w:rPr>
        <w:t>[12] Kristin Ashley Garling, Benjamin Wong. An initial reliability analysis of a patient counseling rubric to objectively measure student pharmacist performance. Heliyon 9:e15768, 2023.</w:t>
      </w:r>
      <w:bookmarkEnd w:id="12"/>
    </w:p>
    <w:p>
      <w:pPr>
        <w:keepNext/>
        <w:spacing w:after="40" w:line="247" w:lineRule="auto"/>
      </w:pPr>
      <w:r>
        <w:rPr>
          <w:sz w:val="18"/>
        </w:rPr>
        <w:t>PDF 3–5，§2.1–2.5 及 Table 1；支持既有咨询 rubric、统一培训和逐项教师判断。170 次真人咨询、77 次模拟咨询不等于 247 名独立学生。</w:t>
      </w:r>
    </w:p>
    <w:p>
      <w:pPr>
        <w:spacing w:after="140" w:line="240" w:lineRule="auto"/>
      </w:pPr>
      <w:r/>
      <w:hyperlink r:id="rId49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50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51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3" w:name="ref_R27"/>
      <w:pPr>
        <w:keepNext/>
        <w:spacing w:after="40" w:line="247" w:lineRule="auto"/>
      </w:pPr>
      <w:r>
        <w:rPr>
          <w:sz w:val="18"/>
        </w:rPr>
        <w:t>[13] Hasan Abu-Rasheed, Christian Weber et al.. Knowledge Graphs as Context Sources for LLM-Based Explanations of Learning Recommendations. IEEE EDUCON, 2024.</w:t>
      </w:r>
      <w:bookmarkEnd w:id="13"/>
    </w:p>
    <w:p>
      <w:pPr>
        <w:keepNext/>
        <w:spacing w:after="40" w:line="247" w:lineRule="auto"/>
      </w:pPr>
      <w:r>
        <w:rPr>
          <w:sz w:val="18"/>
        </w:rPr>
        <w:t>作者稿 PDF 4，§4.1–4.3；同任务比较有无图谱上下文，技术结果与用户反馈分开。</w:t>
      </w:r>
    </w:p>
    <w:p>
      <w:pPr>
        <w:spacing w:after="140" w:line="240" w:lineRule="auto"/>
      </w:pPr>
      <w:r/>
      <w:hyperlink r:id="rId52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53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54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4" w:name="ref_R29"/>
      <w:pPr>
        <w:keepNext/>
        <w:spacing w:after="40" w:line="247" w:lineRule="auto"/>
      </w:pPr>
      <w:r>
        <w:rPr>
          <w:sz w:val="18"/>
        </w:rPr>
        <w:t>[14] Patricia Marybelle Davies, Rebecca Jane Passonneau et al.. Analytical Techniques for Developing Argumentative Writing in STEM: A Pilot Study. IEEE Transactions on Education 65(3):373–383, 2022.</w:t>
      </w:r>
      <w:bookmarkEnd w:id="14"/>
    </w:p>
    <w:p>
      <w:pPr>
        <w:keepNext/>
        <w:spacing w:after="40" w:line="247" w:lineRule="auto"/>
      </w:pPr>
      <w:r>
        <w:rPr>
          <w:sz w:val="18"/>
        </w:rPr>
        <w:t>PDF 5、7，人工参考与 Table IV；借鉴独立专家参考，不照搬作文任务指标。</w:t>
      </w:r>
    </w:p>
    <w:p>
      <w:pPr>
        <w:spacing w:after="140" w:line="240" w:lineRule="auto"/>
      </w:pPr>
      <w:r/>
      <w:hyperlink r:id="rId55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56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57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5" w:name="ref_R30"/>
      <w:pPr>
        <w:keepNext/>
        <w:spacing w:after="40" w:line="247" w:lineRule="auto"/>
      </w:pPr>
      <w:r>
        <w:rPr>
          <w:sz w:val="18"/>
        </w:rPr>
        <w:t>[15] Xueqiao Zhang, Chao Zhang et al.. EduPlanner: LLM-Based Multiagent Systems for Customized and Intelligent Instructional Design. IEEE Transactions on Learning Technologies 18:416–427, 2025.</w:t>
      </w:r>
      <w:bookmarkEnd w:id="15"/>
    </w:p>
    <w:p>
      <w:pPr>
        <w:keepNext/>
        <w:spacing w:after="40" w:line="247" w:lineRule="auto"/>
      </w:pPr>
      <w:r>
        <w:rPr>
          <w:sz w:val="18"/>
        </w:rPr>
        <w:t>作者稿 PDF 8、10，Table II；借鉴组件对照消融，不把教学设计质量当学生学习增益。</w:t>
      </w:r>
    </w:p>
    <w:p>
      <w:pPr>
        <w:spacing w:after="140" w:line="240" w:lineRule="auto"/>
      </w:pPr>
      <w:r/>
      <w:hyperlink r:id="rId58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59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60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6" w:name="ref_R18"/>
      <w:pPr>
        <w:keepNext/>
        <w:spacing w:after="40" w:line="247" w:lineRule="auto"/>
      </w:pPr>
      <w:r>
        <w:rPr>
          <w:sz w:val="18"/>
        </w:rPr>
        <w:t>[16] Daniël Lakens. Sample Size Justification. Collabra Psychology 8(1):33267, 2022.</w:t>
      </w:r>
      <w:bookmarkEnd w:id="16"/>
    </w:p>
    <w:p>
      <w:pPr>
        <w:keepNext/>
        <w:spacing w:after="40" w:line="247" w:lineRule="auto"/>
      </w:pPr>
      <w:r>
        <w:rPr>
          <w:sz w:val="18"/>
        </w:rPr>
        <w:t>PDF 4、8；资源限制及精度论证。16 人是本次排程可招募量，不是足够证明小幅优势的公认最低数。</w:t>
      </w:r>
    </w:p>
    <w:p>
      <w:pPr>
        <w:spacing w:after="140" w:line="240" w:lineRule="auto"/>
      </w:pPr>
      <w:r/>
      <w:hyperlink r:id="rId61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62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63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7" w:name="ref_R33"/>
      <w:pPr>
        <w:keepNext/>
        <w:spacing w:after="40" w:line="247" w:lineRule="auto"/>
      </w:pPr>
      <w:r>
        <w:rPr>
          <w:sz w:val="18"/>
        </w:rPr>
        <w:t>[17] Eyman Alyahyan, Mireilla Bikanga Ada et al.. Adoption, Usage, and Perceptions of LLM-Generated Feedback in Computer Science Education: A Cross-Cultural Study of Students and Academics. IEEE FIE, 2025.</w:t>
      </w:r>
      <w:bookmarkEnd w:id="17"/>
    </w:p>
    <w:p>
      <w:pPr>
        <w:keepNext/>
        <w:spacing w:after="40" w:line="247" w:lineRule="auto"/>
      </w:pPr>
      <w:r>
        <w:rPr>
          <w:sz w:val="18"/>
        </w:rPr>
        <w:t>接受稿 PDF 3，§IV；问卷试测、学生与教师意见分开，不以满意度证明算法准确。</w:t>
      </w:r>
    </w:p>
    <w:p>
      <w:pPr>
        <w:spacing w:after="140" w:line="240" w:lineRule="auto"/>
      </w:pPr>
      <w:r/>
      <w:hyperlink r:id="rId64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65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66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8" w:name="ref_PILOT"/>
      <w:pPr>
        <w:keepNext/>
        <w:spacing w:after="40" w:line="247" w:lineRule="auto"/>
      </w:pPr>
      <w:r>
        <w:rPr>
          <w:sz w:val="18"/>
        </w:rPr>
        <w:t>[18] Sandra M. Eldridge, Claire L. Chan et al.. CONSORT 2010 statement: extension to randomised pilot and feasibility trials. Pilot and Feasibility Studies 2:64, 2016.</w:t>
      </w:r>
      <w:bookmarkEnd w:id="18"/>
    </w:p>
    <w:p>
      <w:pPr>
        <w:keepNext/>
        <w:spacing w:after="40" w:line="247" w:lineRule="auto"/>
      </w:pPr>
      <w:r>
        <w:rPr>
          <w:sz w:val="18"/>
        </w:rPr>
        <w:t>研究目标和样本量条目 2b、7a；支持试点目的、资源与精度相符。不把小型教育试用写成有充分功效的疗效验证。</w:t>
      </w:r>
    </w:p>
    <w:p>
      <w:pPr>
        <w:spacing w:after="140" w:line="240" w:lineRule="auto"/>
      </w:pPr>
      <w:r/>
      <w:hyperlink r:id="rId67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</w:p>
    <w:p>
      <w:bookmarkStart w:id="19" w:name="ref_CROSS"/>
      <w:pPr>
        <w:keepNext/>
        <w:spacing w:after="40" w:line="247" w:lineRule="auto"/>
      </w:pPr>
      <w:r>
        <w:rPr>
          <w:sz w:val="18"/>
        </w:rPr>
        <w:t>[19] Kerry Dwan, Tianjing Li et al.. CONSORT 2010 statement: extension to randomised crossover trials. BMJ 366:l4378, 2019.</w:t>
      </w:r>
      <w:bookmarkEnd w:id="19"/>
    </w:p>
    <w:p>
      <w:pPr>
        <w:keepNext/>
        <w:spacing w:after="40" w:line="247" w:lineRule="auto"/>
      </w:pPr>
      <w:r>
        <w:rPr>
          <w:sz w:val="18"/>
        </w:rPr>
        <w:t>设计及分析条目 3a、12a；借鉴顺序随机、时期效应和参与者内分析。不同病例的两模式均衡试用不是经典同病交叉临床试验。</w:t>
      </w:r>
    </w:p>
    <w:p>
      <w:pPr>
        <w:spacing w:after="140" w:line="240" w:lineRule="auto"/>
      </w:pPr>
      <w:r/>
      <w:hyperlink r:id="rId68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</w:p>
    <w:p>
      <w:bookmarkStart w:id="20" w:name="ref_STATCI"/>
      <w:pPr>
        <w:keepNext/>
        <w:spacing w:after="40" w:line="247" w:lineRule="auto"/>
      </w:pPr>
      <w:r>
        <w:rPr>
          <w:sz w:val="18"/>
        </w:rPr>
        <w:t>[20] L. D. Brown, T. T. Cai et al.. Interval Estimation for a Binomial Proportion. Statistical Science 16(2):101–133, 2001.</w:t>
      </w:r>
      <w:bookmarkEnd w:id="20"/>
    </w:p>
    <w:p>
      <w:pPr>
        <w:keepNext/>
        <w:spacing w:after="40" w:line="247" w:lineRule="auto"/>
      </w:pPr>
      <w:r>
        <w:rPr>
          <w:sz w:val="18"/>
        </w:rPr>
        <w:t>§2；支持 Wilson 区间和小样本精度说明，不解决同一学生重复观测的相关性。</w:t>
      </w:r>
    </w:p>
    <w:p>
      <w:pPr>
        <w:spacing w:after="140" w:line="240" w:lineRule="auto"/>
      </w:pPr>
      <w:r/>
      <w:hyperlink r:id="rId69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70">
        <w:r>
          <w:rPr>
            <w:color w:val="184E7B"/>
            <w:u w:val="single"/>
            <w:sz w:val="18"/>
            <w:rFonts w:ascii="Times New Roman" w:hAnsi="Times New Roman" w:eastAsia="宋体"/>
          </w:rPr>
          <w:t>作者公开稿</w:t>
        </w:r>
      </w:hyperlink>
    </w:p>
    <w:p>
      <w:bookmarkStart w:id="21" w:name="ref_STATMC"/>
      <w:pPr>
        <w:keepNext/>
        <w:spacing w:after="40" w:line="247" w:lineRule="auto"/>
      </w:pPr>
      <w:r>
        <w:rPr>
          <w:sz w:val="18"/>
        </w:rPr>
        <w:t>[21] M. W. Fagerland, S. Lydersen et al.. The McNemar test for binary matched-pairs data: mid-p and asymptotic are better than exact conditional. BMC Medical Research Methodology 13:91, 2013.</w:t>
      </w:r>
      <w:bookmarkEnd w:id="21"/>
    </w:p>
    <w:p>
      <w:pPr>
        <w:keepNext/>
        <w:spacing w:after="40" w:line="247" w:lineRule="auto"/>
      </w:pPr>
      <w:r>
        <w:rPr>
          <w:sz w:val="18"/>
        </w:rPr>
        <w:t>Methods、Discussion；适用于独立二元配对，不能把同一学生多项判断视为独立配对。</w:t>
      </w:r>
    </w:p>
    <w:p>
      <w:pPr>
        <w:spacing w:after="140" w:line="240" w:lineRule="auto"/>
      </w:pPr>
      <w:r/>
      <w:hyperlink r:id="rId71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</w:p>
    <w:p>
      <w:bookmarkStart w:id="22" w:name="ref_IEEE"/>
      <w:pPr>
        <w:keepNext/>
        <w:spacing w:after="40" w:line="247" w:lineRule="auto"/>
      </w:pPr>
      <w:r>
        <w:rPr>
          <w:sz w:val="18"/>
        </w:rPr>
        <w:t>[22] IEEE Author Center. Submission and Peer Review Policies. 投稿与内容重复使用政策, 访问日期 2026年10月4日.</w:t>
      </w:r>
      <w:bookmarkEnd w:id="22"/>
    </w:p>
    <w:p>
      <w:pPr>
        <w:keepNext/>
        <w:spacing w:after="40" w:line="247" w:lineRule="auto"/>
      </w:pPr>
      <w:r>
        <w:rPr>
          <w:sz w:val="18"/>
        </w:rPr>
        <w:t>Submission、Recycling Content；共享数据的相关稿件须有实质新增内容并透明说明。</w:t>
      </w:r>
    </w:p>
    <w:p>
      <w:pPr>
        <w:spacing w:after="140" w:line="240" w:lineRule="auto"/>
      </w:pPr>
      <w:r/>
      <w:hyperlink r:id="rId72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7"/>
      </w:rPr>
      <w:t>CUHK 药学 AI OSCE 论文与试用安排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0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cstheme="majorBidi" w:ascii="Times New Roman" w:hAnsi="Times New Roman" w:eastAsia="微软雅黑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cstheme="majorBidi" w:ascii="Times New Roman" w:hAnsi="Times New Roman" w:eastAsia="微软雅黑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cstheme="majorBidi" w:ascii="Times New Roman" w:hAnsi="Times New Roman" w:eastAsia="微软雅黑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cstheme="majorBidi" w:ascii="Times New Roman" w:hAnsi="Times New Roman" w:eastAsia="微软雅黑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file:///E:/che/apricot/hoper/CUHK%E9%A1%B9%E7%9B%AE/OneDrive_2026-09-09/Sample%20cases%20Apricot/Drug%20Info%20Case%201%20Fungal%20Toe/DI_Case%201_toe_assessment%20checklist.docx" TargetMode="External"/><Relationship Id="rId14" Type="http://schemas.openxmlformats.org/officeDocument/2006/relationships/hyperlink" Target="file:///E:/che/apricot/hoper/CUHK%E9%A1%B9%E7%9B%AE/OneDrive_2026-09-09/Sample%20cases%20Apricot/Drug%20Info%20Case%202%20Migrane/DI_Case%202_migrane_assessment%20checklist.docx" TargetMode="External"/><Relationship Id="rId15" Type="http://schemas.openxmlformats.org/officeDocument/2006/relationships/hyperlink" Target="file:///E:/che/apricot/hoper/CUHK%E9%A1%B9%E7%9B%AE/OneDrive_2026-09-09/Sample%20cases%20Apricot/Patient%20Drug%20Counselling%20Case%201%20Diruetics/Patient_drug_counselling_Case%201_Diuretics_assessment%20form.docx" TargetMode="External"/><Relationship Id="rId16" Type="http://schemas.openxmlformats.org/officeDocument/2006/relationships/hyperlink" Target="file:///E:/che/apricot/hoper/CUHK%E9%A1%B9%E7%9B%AE/OneDrive_2026-09-09/Sample%20cases%20Apricot/Patient%20Drug%20Counselling%20Case%202%20MTX/Patient_drug_counselling_Case%202_MTX_assessment%20form.docx" TargetMode="External"/><Relationship Id="rId17" Type="http://schemas.openxmlformats.org/officeDocument/2006/relationships/hyperlink" Target="file:///E:/che/apricot/hoper/CUHK%E9%A1%B9%E7%9B%AE/CUHK_Pharmacy_Four_Case_Interpretation_and_Faculty_Confirmations_20260902_YT.pdf#page=13" TargetMode="External"/><Relationship Id="rId18" Type="http://schemas.openxmlformats.org/officeDocument/2006/relationships/hyperlink" Target="https://doi.org/10.5688/aj7408148" TargetMode="External"/><Relationship Id="rId19" Type="http://schemas.openxmlformats.org/officeDocument/2006/relationships/hyperlink" Target="https://pmc.ncbi.nlm.nih.gov/articles/PMC2987288/" TargetMode="External"/><Relationship Id="rId20" Type="http://schemas.openxmlformats.org/officeDocument/2006/relationships/hyperlink" Target="https://doi.org/10.1186/s41077-017-0043-4" TargetMode="External"/><Relationship Id="rId21" Type="http://schemas.openxmlformats.org/officeDocument/2006/relationships/hyperlink" Target="file:///E:/che/apricot/hoper/CUHK_EDUCON2027_%E8%AE%BA%E6%96%87%E7%A0%94%E7%A9%B6_20260927/Evidence_Graph_Judge_%E8%AE%BA%E6%96%87%E6%96%B9%E6%A1%88_20260930/pdf/original/R01.pdf" TargetMode="External"/><Relationship Id="rId22" Type="http://schemas.openxmlformats.org/officeDocument/2006/relationships/hyperlink" Target="file:///E:/che/apricot/hoper/CUHK_EDUCON2027_%E8%AE%BA%E6%96%87%E7%A0%94%E7%A9%B6_20260927/Evidence_Graph_Judge_%E8%AE%BA%E6%96%87%E6%96%B9%E6%A1%88_20260930/papers/R01.html#evidence-e1" TargetMode="External"/><Relationship Id="rId23" Type="http://schemas.openxmlformats.org/officeDocument/2006/relationships/hyperlink" Target="https://doi.org/10.1016/j.cptl.2025.102503" TargetMode="External"/><Relationship Id="rId24" Type="http://schemas.openxmlformats.org/officeDocument/2006/relationships/hyperlink" Target="file:///E:/che/apricot/hoper/CUHK_EDUCON2027_%E8%AE%BA%E6%96%87%E7%A0%94%E7%A9%B6_20260927/Evidence_Graph_Judge_%E8%AE%BA%E6%96%87%E6%96%B9%E6%A1%88_20260930/pdf/original/R03.pdf" TargetMode="External"/><Relationship Id="rId25" Type="http://schemas.openxmlformats.org/officeDocument/2006/relationships/hyperlink" Target="file:///E:/che/apricot/hoper/CUHK_EDUCON2027_%E8%AE%BA%E6%96%87%E7%A0%94%E7%A9%B6_20260927/Evidence_Graph_Judge_%E8%AE%BA%E6%96%87%E6%96%B9%E6%A1%88_20260930/papers/R03.html#evidence-e1" TargetMode="External"/><Relationship Id="rId26" Type="http://schemas.openxmlformats.org/officeDocument/2006/relationships/hyperlink" Target="https://doi.org/10.1145/3785022.3785092" TargetMode="External"/><Relationship Id="rId27" Type="http://schemas.openxmlformats.org/officeDocument/2006/relationships/hyperlink" Target="file:///E:/che/apricot/hoper/CUHK_EDUCON2027_%E8%AE%BA%E6%96%87%E7%A0%94%E7%A9%B6_20260927/Evidence_Graph_Judge_%E8%AE%BA%E6%96%87%E6%96%B9%E6%A1%88_20260930/pdf/original/R34.pdf" TargetMode="External"/><Relationship Id="rId28" Type="http://schemas.openxmlformats.org/officeDocument/2006/relationships/hyperlink" Target="file:///E:/che/apricot/hoper/CUHK_EDUCON2027_%E8%AE%BA%E6%96%87%E7%A0%94%E7%A9%B6_20260927/Evidence_Graph_Judge_%E8%AE%BA%E6%96%87%E6%96%B9%E6%A1%88_20260930/papers/R34.html#evidence-e1" TargetMode="External"/><Relationship Id="rId29" Type="http://schemas.openxmlformats.org/officeDocument/2006/relationships/hyperlink" Target="https://doi.org/10.1016/j.ajpe.2025.101455" TargetMode="External"/><Relationship Id="rId30" Type="http://schemas.openxmlformats.org/officeDocument/2006/relationships/hyperlink" Target="https://pubmed.ncbi.nlm.nih.gov/40614901/" TargetMode="External"/><Relationship Id="rId31" Type="http://schemas.openxmlformats.org/officeDocument/2006/relationships/hyperlink" Target="https://aclanthology.org/2026.lrec-1.831/" TargetMode="External"/><Relationship Id="rId32" Type="http://schemas.openxmlformats.org/officeDocument/2006/relationships/hyperlink" Target="file:///E:/che/apricot/hoper/CUHK_EDUCON2027_%E8%AE%BA%E6%96%87%E7%A0%94%E7%A9%B6_20260927/Evidence_Graph_Judge_%E8%AE%BA%E6%96%87%E6%96%B9%E6%A1%88_20260930/pdf/original/R14.pdf" TargetMode="External"/><Relationship Id="rId33" Type="http://schemas.openxmlformats.org/officeDocument/2006/relationships/hyperlink" Target="file:///E:/che/apricot/hoper/CUHK_EDUCON2027_%E8%AE%BA%E6%96%87%E7%A0%94%E7%A9%B6_20260927/Evidence_Graph_Judge_%E8%AE%BA%E6%96%87%E6%96%B9%E6%A1%88_20260930/papers/R14.html#evidence-e1" TargetMode="External"/><Relationship Id="rId34" Type="http://schemas.openxmlformats.org/officeDocument/2006/relationships/hyperlink" Target="https://www.accp.com/cmm_care_process" TargetMode="External"/><Relationship Id="rId35" Type="http://schemas.openxmlformats.org/officeDocument/2006/relationships/hyperlink" Target="file:///E:/che/apricot/hoper/CUHK_EDUCON2027_%E8%AE%BA%E6%96%87%E7%A0%94%E7%A9%B6_20260927/Evidence_Graph_Judge_%E8%AE%BA%E6%96%87%E6%96%B9%E6%A1%88_20260930/pdf/original/R23.pdf" TargetMode="External"/><Relationship Id="rId36" Type="http://schemas.openxmlformats.org/officeDocument/2006/relationships/hyperlink" Target="file:///E:/che/apricot/hoper/CUHK_EDUCON2027_%E8%AE%BA%E6%96%87%E7%A0%94%E7%A9%B6_20260927/Evidence_Graph_Judge_%E8%AE%BA%E6%96%87%E6%96%B9%E6%A1%88_20260930/papers/R23.html#evidence-e1" TargetMode="External"/><Relationship Id="rId37" Type="http://schemas.openxmlformats.org/officeDocument/2006/relationships/hyperlink" Target="https://arxiv.org/abs/2608.12097" TargetMode="External"/><Relationship Id="rId38" Type="http://schemas.openxmlformats.org/officeDocument/2006/relationships/hyperlink" Target="file:///E:/che/apricot/hoper/CUHK_EDUCON2027_%E8%AE%BA%E6%96%87%E7%A0%94%E7%A9%B6_20260927/Evidence_Graph_Judge_%E8%AE%BA%E6%96%87%E6%96%B9%E6%A1%88_20260930/pdf/original/R07.pdf" TargetMode="External"/><Relationship Id="rId39" Type="http://schemas.openxmlformats.org/officeDocument/2006/relationships/hyperlink" Target="file:///E:/che/apricot/hoper/CUHK_EDUCON2027_%E8%AE%BA%E6%96%87%E7%A0%94%E7%A9%B6_20260927/Evidence_Graph_Judge_%E8%AE%BA%E6%96%87%E6%96%B9%E6%A1%88_20260930/papers/R07.html#evidence-e1" TargetMode="External"/><Relationship Id="rId40" Type="http://schemas.openxmlformats.org/officeDocument/2006/relationships/hyperlink" Target="https://www.ijcai.org/proceedings/2025/1065" TargetMode="External"/><Relationship Id="rId41" Type="http://schemas.openxmlformats.org/officeDocument/2006/relationships/hyperlink" Target="file:///E:/che/apricot/hoper/CUHK_EDUCON2027_%E8%AE%BA%E6%96%87%E7%A0%94%E7%A9%B6_20260927/Evidence_Graph_Judge_%E8%AE%BA%E6%96%87%E6%96%B9%E6%A1%88_20260930/pdf/original/R24.pdf" TargetMode="External"/><Relationship Id="rId42" Type="http://schemas.openxmlformats.org/officeDocument/2006/relationships/hyperlink" Target="file:///E:/che/apricot/hoper/CUHK_EDUCON2027_%E8%AE%BA%E6%96%87%E7%A0%94%E7%A9%B6_20260927/Evidence_Graph_Judge_%E8%AE%BA%E6%96%87%E6%96%B9%E6%A1%88_20260930/papers/R24.html#evidence-e1" TargetMode="External"/><Relationship Id="rId43" Type="http://schemas.openxmlformats.org/officeDocument/2006/relationships/hyperlink" Target="https://doi.org/10.1186/s41077-016-0033-y" TargetMode="External"/><Relationship Id="rId44" Type="http://schemas.openxmlformats.org/officeDocument/2006/relationships/hyperlink" Target="file:///E:/che/apricot/hoper/CUHK_EDUCON2027_%E8%AE%BA%E6%96%87%E7%A0%94%E7%A9%B6_20260927/Evidence_Graph_Judge_%E8%AE%BA%E6%96%87%E6%96%B9%E6%A1%88_20260930/pdf/original/R17.pdf" TargetMode="External"/><Relationship Id="rId45" Type="http://schemas.openxmlformats.org/officeDocument/2006/relationships/hyperlink" Target="file:///E:/che/apricot/hoper/CUHK_EDUCON2027_%E8%AE%BA%E6%96%87%E7%A0%94%E7%A9%B6_20260927/Evidence_Graph_Judge_%E8%AE%BA%E6%96%87%E6%96%B9%E6%A1%88_20260930/papers/R17.html#evidence-e1" TargetMode="External"/><Relationship Id="rId46" Type="http://schemas.openxmlformats.org/officeDocument/2006/relationships/hyperlink" Target="https://doi.org/10.24926/iip.v12i1.2110" TargetMode="External"/><Relationship Id="rId47" Type="http://schemas.openxmlformats.org/officeDocument/2006/relationships/hyperlink" Target="file:///E:/che/apricot/hoper/CUHK_EDUCON2027_%E8%AE%BA%E6%96%87%E7%A0%94%E7%A9%B6_20260927/Evidence_Graph_Judge_%E8%AE%BA%E6%96%87%E6%96%B9%E6%A1%88_20260930/pdf/original/R19.pdf" TargetMode="External"/><Relationship Id="rId48" Type="http://schemas.openxmlformats.org/officeDocument/2006/relationships/hyperlink" Target="file:///E:/che/apricot/hoper/CUHK_EDUCON2027_%E8%AE%BA%E6%96%87%E7%A0%94%E7%A9%B6_20260927/Evidence_Graph_Judge_%E8%AE%BA%E6%96%87%E6%96%B9%E6%A1%88_20260930/papers/R19.html#evidence-e1" TargetMode="External"/><Relationship Id="rId49" Type="http://schemas.openxmlformats.org/officeDocument/2006/relationships/hyperlink" Target="https://doi.org/10.1016/j.heliyon.2023.e15768" TargetMode="External"/><Relationship Id="rId50" Type="http://schemas.openxmlformats.org/officeDocument/2006/relationships/hyperlink" Target="file:///E:/che/apricot/hoper/CUHK_EDUCON2027_%E8%AE%BA%E6%96%87%E7%A0%94%E7%A9%B6_20260927/Evidence_Graph_Judge_%E8%AE%BA%E6%96%87%E6%96%B9%E6%A1%88_20260930/pdf/original/R20.pdf" TargetMode="External"/><Relationship Id="rId51" Type="http://schemas.openxmlformats.org/officeDocument/2006/relationships/hyperlink" Target="file:///E:/che/apricot/hoper/CUHK_EDUCON2027_%E8%AE%BA%E6%96%87%E7%A0%94%E7%A9%B6_20260927/Evidence_Graph_Judge_%E8%AE%BA%E6%96%87%E6%96%B9%E6%A1%88_20260930/papers/R20.html#evidence-e1" TargetMode="External"/><Relationship Id="rId52" Type="http://schemas.openxmlformats.org/officeDocument/2006/relationships/hyperlink" Target="https://doi.org/10.1109/EDUCON60312.2024.10578654" TargetMode="External"/><Relationship Id="rId53" Type="http://schemas.openxmlformats.org/officeDocument/2006/relationships/hyperlink" Target="file:///E:/che/apricot/hoper/CUHK_EDUCON2027_%E8%AE%BA%E6%96%87%E7%A0%94%E7%A9%B6_20260927/Evidence_Graph_Judge_%E8%AE%BA%E6%96%87%E6%96%B9%E6%A1%88_20260930/pdf/original/R27.pdf" TargetMode="External"/><Relationship Id="rId54" Type="http://schemas.openxmlformats.org/officeDocument/2006/relationships/hyperlink" Target="file:///E:/che/apricot/hoper/CUHK_EDUCON2027_%E8%AE%BA%E6%96%87%E7%A0%94%E7%A9%B6_20260927/Evidence_Graph_Judge_%E8%AE%BA%E6%96%87%E6%96%B9%E6%A1%88_20260930/papers/R27.html#evidence-e1" TargetMode="External"/><Relationship Id="rId55" Type="http://schemas.openxmlformats.org/officeDocument/2006/relationships/hyperlink" Target="https://doi.org/10.1109/TE.2021.3116202" TargetMode="External"/><Relationship Id="rId56" Type="http://schemas.openxmlformats.org/officeDocument/2006/relationships/hyperlink" Target="file:///E:/che/apricot/hoper/CUHK_EDUCON2027_%E8%AE%BA%E6%96%87%E7%A0%94%E7%A9%B6_20260927/Evidence_Graph_Judge_%E8%AE%BA%E6%96%87%E6%96%B9%E6%A1%88_20260930/pdf/original/R29.pdf" TargetMode="External"/><Relationship Id="rId57" Type="http://schemas.openxmlformats.org/officeDocument/2006/relationships/hyperlink" Target="file:///E:/che/apricot/hoper/CUHK_EDUCON2027_%E8%AE%BA%E6%96%87%E7%A0%94%E7%A9%B6_20260927/Evidence_Graph_Judge_%E8%AE%BA%E6%96%87%E6%96%B9%E6%A1%88_20260930/papers/R29.html#evidence-e1" TargetMode="External"/><Relationship Id="rId58" Type="http://schemas.openxmlformats.org/officeDocument/2006/relationships/hyperlink" Target="https://doi.org/10.1109/TLT.2025.3561332" TargetMode="External"/><Relationship Id="rId59" Type="http://schemas.openxmlformats.org/officeDocument/2006/relationships/hyperlink" Target="file:///E:/che/apricot/hoper/CUHK_EDUCON2027_%E8%AE%BA%E6%96%87%E7%A0%94%E7%A9%B6_20260927/Evidence_Graph_Judge_%E8%AE%BA%E6%96%87%E6%96%B9%E6%A1%88_20260930/pdf/original/R30.pdf" TargetMode="External"/><Relationship Id="rId60" Type="http://schemas.openxmlformats.org/officeDocument/2006/relationships/hyperlink" Target="file:///E:/che/apricot/hoper/CUHK_EDUCON2027_%E8%AE%BA%E6%96%87%E7%A0%94%E7%A9%B6_20260927/Evidence_Graph_Judge_%E8%AE%BA%E6%96%87%E6%96%B9%E6%A1%88_20260930/papers/R30.html#evidence-e1" TargetMode="External"/><Relationship Id="rId61" Type="http://schemas.openxmlformats.org/officeDocument/2006/relationships/hyperlink" Target="https://doi.org/10.1525/collabra.33267" TargetMode="External"/><Relationship Id="rId62" Type="http://schemas.openxmlformats.org/officeDocument/2006/relationships/hyperlink" Target="file:///E:/che/apricot/hoper/CUHK_EDUCON2027_%E8%AE%BA%E6%96%87%E7%A0%94%E7%A9%B6_20260927/Evidence_Graph_Judge_%E8%AE%BA%E6%96%87%E6%96%B9%E6%A1%88_20260930/pdf/original/R18.pdf" TargetMode="External"/><Relationship Id="rId63" Type="http://schemas.openxmlformats.org/officeDocument/2006/relationships/hyperlink" Target="file:///E:/che/apricot/hoper/CUHK_EDUCON2027_%E8%AE%BA%E6%96%87%E7%A0%94%E7%A9%B6_20260927/Evidence_Graph_Judge_%E8%AE%BA%E6%96%87%E6%96%B9%E6%A1%88_20260930/papers/R18.html#evidence-e1" TargetMode="External"/><Relationship Id="rId64" Type="http://schemas.openxmlformats.org/officeDocument/2006/relationships/hyperlink" Target="https://doi.org/10.1109/FIE63693.2025.11328530" TargetMode="External"/><Relationship Id="rId65" Type="http://schemas.openxmlformats.org/officeDocument/2006/relationships/hyperlink" Target="file:///E:/che/apricot/hoper/CUHK_EDUCON2027_%E8%AE%BA%E6%96%87%E7%A0%94%E7%A9%B6_20260927/Evidence_Graph_Judge_%E8%AE%BA%E6%96%87%E6%96%B9%E6%A1%88_20260930/pdf/original/R33.pdf" TargetMode="External"/><Relationship Id="rId66" Type="http://schemas.openxmlformats.org/officeDocument/2006/relationships/hyperlink" Target="file:///E:/che/apricot/hoper/CUHK_EDUCON2027_%E8%AE%BA%E6%96%87%E7%A0%94%E7%A9%B6_20260927/Evidence_Graph_Judge_%E8%AE%BA%E6%96%87%E6%96%B9%E6%A1%88_20260930/papers/R33.html#evidence-e1" TargetMode="External"/><Relationship Id="rId67" Type="http://schemas.openxmlformats.org/officeDocument/2006/relationships/hyperlink" Target="https://doi.org/10.1186/s40814-016-0105-8" TargetMode="External"/><Relationship Id="rId68" Type="http://schemas.openxmlformats.org/officeDocument/2006/relationships/hyperlink" Target="https://doi.org/10.1136/bmj.l4378" TargetMode="External"/><Relationship Id="rId69" Type="http://schemas.openxmlformats.org/officeDocument/2006/relationships/hyperlink" Target="https://doi.org/10.1214/ss/1009213286" TargetMode="External"/><Relationship Id="rId70" Type="http://schemas.openxmlformats.org/officeDocument/2006/relationships/hyperlink" Target="https://www.stat.purdue.edu/~dasgupta/publications/tr99-19.pdf" TargetMode="External"/><Relationship Id="rId71" Type="http://schemas.openxmlformats.org/officeDocument/2006/relationships/hyperlink" Target="https://doi.org/10.1186/1471-2288-13-91" TargetMode="External"/><Relationship Id="rId72" Type="http://schemas.openxmlformats.org/officeDocument/2006/relationships/hyperlink" Target="https://journals.ieeeauthorcenter.ieee.org/become-an-ieee-journal-author/publishing-ethics/guidelines-and-policies/submission-and-peer-review-polic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Evidence-Graph Judge 面向药学 OSCE 统一角色控制与表现评价</dc:title>
  <dc:subject>供CUHK YT张教授讨论的论文思路与2026年10月7日09:30至13:30实验安排</dc:subject>
  <dc:creator>CUHK Pharmacy OSCE Research</dc:creator>
  <cp:keywords>Evidence-Graph Judge, OSCE, faculty, study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