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Evidence-Graph Judge</w:t>
      </w:r>
    </w:p>
    <w:p>
      <w:pPr>
        <w:pStyle w:val="Subtitle"/>
      </w:pPr>
      <w:r>
        <w:t>面向药学 OSCE，统一角色控制与表现评价</w:t>
      </w:r>
    </w:p>
    <w:p>
      <w:pPr>
        <w:spacing w:after="180"/>
      </w:pPr>
      <w:r>
        <w:rPr>
          <w:sz w:val="20"/>
        </w:rPr>
        <w:t>供 CUHK YT 张教授讨论    论文思路与 2026 年 10 月 7 日实验安排</w:t>
      </w:r>
    </w:p>
    <w:p>
      <w:r>
        <w:rPr>
          <w:b/>
        </w:rPr>
        <w:t>我们希望基于 CUHK 已有的四个药学 AI OSCE 考站，研究一种共同执行角色要求和评价要求的方法，并向 IEEE 教育领域投稿。拟在 10 月 7 日组织 16 名学生试用，每人完成两站；请张教授协助招募、确认试用安排，并从教师角度核验角色表现和系统评价。设备、脚本、数据整理及统计由研究团队负责。</w:t>
      </w:r>
    </w:p>
    <w:p>
      <w:pPr>
        <w:pStyle w:val="Heading2"/>
      </w:pPr>
      <w:r>
        <w:t>研究从什么问题出发</w:t>
      </w:r>
    </w:p>
    <w:p>
      <w:r>
        <w:t>传统 OSCE 让学生在预设考站完成咨询，由经过训练的患者或专业角色配合，并按检查表或评分表观察表现。药学院实施研究报告了人员、时间和资源障碍；ASPE 标准则要求角色表现与评价记录准确一致。</w:t>
      </w:r>
      <w:hyperlink w:anchor="ref_STURPE">
        <w:r>
          <w:rPr>
            <w:color w:val="184E7B"/>
            <w:u w:val="single"/>
            <w:sz w:val="20"/>
            <w:rFonts w:ascii="Times New Roman" w:hAnsi="Times New Roman" w:eastAsia="宋体"/>
          </w:rPr>
          <w:t>[1]</w:t>
        </w:r>
      </w:hyperlink>
      <w:r/>
      <w:hyperlink w:anchor="ref_R01">
        <w:r>
          <w:rPr>
            <w:color w:val="184E7B"/>
            <w:u w:val="single"/>
            <w:sz w:val="20"/>
            <w:rFonts w:ascii="Times New Roman" w:hAnsi="Times New Roman" w:eastAsia="宋体"/>
          </w:rPr>
          <w:t>[2]</w:t>
        </w:r>
      </w:hyperlink>
      <w:r/>
    </w:p>
    <w:p>
      <w:r>
        <w:t>AI 使学生能够反复练习，也能生成反馈。MedSimAI 等系统已使用结构化角色设定、完整对话和逐项评分表；药学 OSCE 的 AI 自动评分也已有直接试点研究。因此，我们不把“让 AI 扮演患者或评分”本身作为创新。</w:t>
      </w:r>
      <w:hyperlink w:anchor="ref_R34">
        <w:r>
          <w:rPr>
            <w:color w:val="184E7B"/>
            <w:u w:val="single"/>
            <w:sz w:val="20"/>
            <w:rFonts w:ascii="Times New Roman" w:hAnsi="Times New Roman" w:eastAsia="宋体"/>
          </w:rPr>
          <w:t>[4]</w:t>
        </w:r>
      </w:hyperlink>
      <w:r/>
      <w:hyperlink w:anchor="ref_SOURIAL">
        <w:r>
          <w:rPr>
            <w:color w:val="184E7B"/>
            <w:u w:val="single"/>
            <w:sz w:val="20"/>
            <w:rFonts w:ascii="Times New Roman" w:hAnsi="Times New Roman" w:eastAsia="宋体"/>
          </w:rPr>
          <w:t>[5]</w:t>
        </w:r>
      </w:hyperlink>
      <w:r/>
    </w:p>
    <w:p>
      <w:r>
        <w:t>仍需解决的是：AI 的角色行为会影响学生获得的机会，而评价必须正确使用这些过程。药学聊天训练的参与者报告过患者过于博学、信息给得过多及药物治疗反馈不足；医学 OSCE 研究进一步区分“答案出现在对话里”与“学生主动获取或确认了答案”。</w:t>
      </w:r>
      <w:hyperlink w:anchor="ref_R03">
        <w:r>
          <w:rPr>
            <w:color w:val="184E7B"/>
            <w:u w:val="single"/>
            <w:sz w:val="20"/>
            <w:rFonts w:ascii="Times New Roman" w:hAnsi="Times New Roman" w:eastAsia="宋体"/>
          </w:rPr>
          <w:t>[3]</w:t>
        </w:r>
      </w:hyperlink>
      <w:r/>
      <w:hyperlink w:anchor="ref_R14">
        <w:r>
          <w:rPr>
            <w:color w:val="184E7B"/>
            <w:u w:val="single"/>
            <w:sz w:val="20"/>
            <w:rFonts w:ascii="Times New Roman" w:hAnsi="Times New Roman" w:eastAsia="宋体"/>
          </w:rPr>
          <w:t>[6]</w:t>
        </w:r>
      </w:hyperlink>
      <w:r/>
    </w:p>
    <w:p>
      <w:pPr>
        <w:pStyle w:val="Heading2"/>
      </w:pPr>
      <w:r>
        <w:t>为什么药学病例更需要保留过程</w:t>
      </w:r>
    </w:p>
    <w:p>
      <w:r>
        <w:t>药学建议必须同时联系患者条件、具体药物、联合用药与用法，不能只匹配一句正确的药物知识。综合药物管理的专业框架要求评估适应证、有效性、安全性和依从性；这些关系用于组织本研究的知识，不重新制定学院评分标准。</w:t>
      </w:r>
      <w:hyperlink w:anchor="ref_R23">
        <w:r>
          <w:rPr>
            <w:color w:val="184E7B"/>
            <w:u w:val="single"/>
            <w:sz w:val="20"/>
            <w:rFonts w:ascii="Times New Roman" w:hAnsi="Times New Roman" w:eastAsia="宋体"/>
          </w:rPr>
          <w:t>[7]</w:t>
        </w:r>
      </w:hyperlink>
      <w:r/>
    </w:p>
    <w:p>
      <w:r>
        <w:t>例如，甲癣站中，AI 医生按权限提示一次后，学生才补充识别指定风险。学生确已回答，但是否适用提示后的等级上限，应执行本站要求。若只看到最后的正确答案，就可能漏掉提示后果；若把任何澄清都当指定提示，又会误扣分。</w:t>
      </w:r>
    </w:p>
    <w:p>
      <w:r>
        <w:rPr>
          <w:sz w:val="20"/>
        </w:rPr>
        <w:t>本研究检验 EGJ 是否减少误判。18 份既有 ASR 文本离线参考计数为 563–2,419 tokens；前两站 10 份离线重建评价请求为 14,105–19,897 tokens。使用固定分词器，转写及说话者尚未完整人工核验，均非线上服务实测或计费量，不能说已超出模型窗口。长上下文论文提供挑战依据，CUHK 效果须实测。</w:t>
      </w:r>
      <w:hyperlink w:anchor="ref_R36">
        <w:r>
          <w:rPr>
            <w:color w:val="184E7B"/>
            <w:u w:val="single"/>
            <w:sz w:val="20"/>
            <w:rFonts w:ascii="Times New Roman" w:hAnsi="Times New Roman" w:eastAsia="宋体"/>
          </w:rPr>
          <w:t>[8]</w:t>
        </w:r>
      </w:hyperlink>
      <w:r>
        <w:rPr>
          <w:sz w:val="20"/>
        </w:rPr>
      </w:r>
    </w:p>
    <w:p>
      <w:pPr>
        <w:spacing w:after="60"/>
      </w:pPr>
      <w:r/>
      <w:hyperlink r:id="rId11">
        <w:r>
          <w:rPr>
            <w:color w:val="184E7B"/>
            <w:u w:val="single"/>
            <w:sz w:val="18"/>
            <w:rFonts w:ascii="Times New Roman" w:hAnsi="Times New Roman" w:eastAsia="宋体"/>
          </w:rPr>
          <w:t>CUHK 材料长度与审计说明</w:t>
        </w:r>
      </w:hyperlink>
    </w:p>
    <w:p>
      <w:pPr>
        <w:pStyle w:val="Heading1"/>
        <w:pageBreakBefore/>
      </w:pPr>
      <w:r>
        <w:t>我们的实现思路与论文安排</w:t>
      </w:r>
    </w:p>
    <w:p>
      <w:r>
        <w:t>EGJ 把学院的角色要求与评分要求编成规则图，另把实际对话形成证据图。规则规定“应该怎样做”，证据记录“实际做了什么”。两者共同判断 AI 本轮可以说什么，以及学生已经满足什么要求。角色规则和评分规则分别定义，共享事件，不把两者混成同一条评分标准。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780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8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图 1 EGJ 用共同事件分别执行角色控制和表现评价</w:t>
      </w:r>
    </w:p>
    <w:p>
      <w:r>
        <w:t>以 MTX 为例：学生先说“每日一次”，患者复述确认，学生随后纠正为“每星期一次”。患者复述不是学生新的正确作答；纠正能更新当前方案，但原来的错误不能删除。EGJ 保存发言来源、所指药物与纠正关系，按学院规则分别更新角色状态和评价后果。</w:t>
      </w:r>
    </w:p>
    <w:p>
      <w:r>
        <w:t>图准则编译和时序推理已有 GSR、LogiDebrief 等方法。我们的增量是，把实际发出的提示、披露及纠正作为共同事件，持续影响后续角色权限和评价后果，并能从结果查回原句。不能把“用了两张图”或“用了确定性规则”单独宣称为首次创新。</w:t>
      </w:r>
      <w:hyperlink w:anchor="ref_R07">
        <w:r>
          <w:rPr>
            <w:color w:val="184E7B"/>
            <w:u w:val="single"/>
            <w:sz w:val="20"/>
            <w:rFonts w:ascii="Times New Roman" w:hAnsi="Times New Roman" w:eastAsia="宋体"/>
          </w:rPr>
          <w:t>[9]</w:t>
        </w:r>
      </w:hyperlink>
      <w:r/>
      <w:hyperlink w:anchor="ref_R24">
        <w:r>
          <w:rPr>
            <w:color w:val="184E7B"/>
            <w:u w:val="single"/>
            <w:sz w:val="20"/>
            <w:rFonts w:ascii="Times New Roman" w:hAnsi="Times New Roman" w:eastAsia="宋体"/>
          </w:rPr>
          <w:t>[10]</w:t>
        </w:r>
      </w:hyperlink>
      <w:r/>
    </w:p>
    <w:p>
      <w:pPr>
        <w:pStyle w:val="Heading2"/>
      </w:pPr>
      <w:r>
        <w:t>论文要回答的两个问题</w:t>
      </w:r>
    </w:p>
    <w:p>
      <w:r>
        <w:t>一是在相同病例、知识和对话输入下，EGJ 是否更遵守角色边界；二是它对学生完成了什么、提示是否影响等级、错误是否已纠正的判断，是否更接近教师参考。技术细节服务于这两项验证，不以平台功能清单代替研究。</w:t>
      </w:r>
    </w:p>
    <w:p>
      <w:pPr>
        <w:pStyle w:val="Heading2"/>
      </w:pPr>
      <w:r>
        <w:t>摘要与章节的写作方向</w:t>
      </w:r>
    </w:p>
    <w:p>
      <w:r>
        <w:t>摘要拟说明：药学 AI OSCE 的角色提示、患者复述和学生纠正会改变评价依据；EGJ 以固定规则和带来源、时序、药物条件的证据共同执行角色与评价。研究在四个 CUHK 考站开展受控脚本检查及自然学生试用，与完整上下文 LLM 方法比较角色合规及核心评价一致性。结果采集后再填真实样本、差值与区间。</w:t>
      </w:r>
    </w:p>
    <w:p>
      <w:r>
        <w:t>正文依次写研究问题、相关工作、EGJ 方法、四站实验、结果、教育应用与局限。结论限于实际核验范围，不预先写成替代教师或提高学习成绩。</w:t>
      </w:r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</w:p>
    <w:p>
      <w:pPr>
        <w:pStyle w:val="Heading1"/>
        <w:pageBreakBefore/>
      </w:pPr>
      <w:r>
        <w:t>10 月 7 日学生如何参加实验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150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5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图 2 从课前准备到结果核验的操作顺序</w:t>
      </w:r>
    </w:p>
    <w:p>
      <w:r>
        <w:t>建议招募 16 名已具备相应课程基础的药学生。每人做一个向医生提供建议的站和一个向患者解释用药的站，共 32 场，每站 8 场。人数用于四站覆盖和现场可行性；同一学生的两场相互关联，不能算 32 名独立参与者。</w:t>
      </w:r>
      <w:hyperlink w:anchor="ref_R18">
        <w:r>
          <w:rPr>
            <w:color w:val="184E7B"/>
            <w:u w:val="single"/>
            <w:sz w:val="20"/>
            <w:rFonts w:ascii="Times New Roman" w:hAnsi="Times New Roman" w:eastAsia="宋体"/>
          </w:rPr>
          <w:t>[15]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794"/>
        <w:gridCol w:w="3061"/>
        <w:gridCol w:w="4989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0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两个考站</w:t>
            </w:r>
          </w:p>
        </w:tc>
        <w:tc>
          <w:tcPr>
            <w:tcW w:type="dxa" w:w="49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先后次序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甲癣、利尿药</w:t>
            </w:r>
          </w:p>
        </w:tc>
        <w:tc>
          <w:tcPr>
            <w:tcW w:type="dxa" w:w="49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2 人先甲癣，2 人先利尿药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甲癣、MTX</w:t>
            </w:r>
          </w:p>
        </w:tc>
        <w:tc>
          <w:tcPr>
            <w:tcW w:type="dxa" w:w="49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2 人先甲癣，2 人先 MTX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偏头痛、利尿药</w:t>
            </w:r>
          </w:p>
        </w:tc>
        <w:tc>
          <w:tcPr>
            <w:tcW w:type="dxa" w:w="49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2 人先偏头痛，2 人先利尿药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79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6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偏头痛、MTX</w:t>
            </w:r>
          </w:p>
        </w:tc>
        <w:tc>
          <w:tcPr>
            <w:tcW w:type="dxa" w:w="498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2 人先偏头痛，2 人先 MTX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pStyle w:val="Heading2"/>
      </w:pPr>
      <w:r>
        <w:t>给学生的统一操作说明</w:t>
      </w:r>
    </w:p>
    <w:p>
      <w:r>
        <w:t>“这次是教学系统研究试用，不计入课程成绩。先熟悉设备，再阅读本站任务和允许使用的资料，按平时方法自然咨询。可以提问、解释、提出建议或自行更正，不需要背脚本。研究助理只帮助设备操作，不提示药学答案。每站研究采集最长 10 分钟；这个时间不是新增的考试失败规则。两站结束后再看反馈并填问卷。是否愿意录音和参加研究按学院流程确认。”</w:t>
      </w:r>
      <w:hyperlink w:anchor="ref_R01">
        <w:r>
          <w:rPr>
            <w:color w:val="184E7B"/>
            <w:u w:val="single"/>
            <w:sz w:val="20"/>
            <w:rFonts w:ascii="Times New Roman" w:hAnsi="Times New Roman" w:eastAsia="宋体"/>
          </w:rPr>
          <w:t>[2]</w:t>
        </w:r>
      </w:hyperlink>
      <w:r/>
    </w:p>
    <w:p>
      <w:r>
        <w:t>每人约 30–35 分钟，包含熟悉设备、两次咨询、短休息、反馈和问卷。两站之间不展示答案或评分，减少反馈影响下一站。学生使用匿名编号，记录年级及相关课程经历；不在对话中输入姓名、学号或真实患者资料。</w:t>
      </w:r>
    </w:p>
    <w:p>
      <w:pPr>
        <w:pStyle w:val="Heading2"/>
      </w:pPr>
      <w:r>
        <w:t>只用一套平台也能完成方法比较</w:t>
      </w:r>
    </w:p>
    <w:p>
      <w:r>
        <w:t>现场使用 EGJ。站后，两方法读取同一完整转写、同一病例和学院评分表，分别判断每场的四项核心要求。根据学生临床发言确定候选位置，排除问候和设备操作，但保留已发起却超时或空回复的调用；每场按固定随机规则抽一处。强基线读取与当时 EGJ 相同的原始历史，生成下一回复，供教师盲评。共 128 个核心评价项、32 对角色回复。教师看不到方法名称。</w:t>
      </w:r>
      <w:hyperlink w:anchor="ref_R29">
        <w:r>
          <w:rPr>
            <w:color w:val="184E7B"/>
            <w:u w:val="single"/>
            <w:sz w:val="20"/>
            <w:rFonts w:ascii="Times New Roman" w:hAnsi="Times New Roman" w:eastAsia="宋体"/>
          </w:rPr>
          <w:t>[12]</w:t>
        </w:r>
      </w:hyperlink>
      <w:r/>
    </w:p>
    <w:p>
      <w:r>
        <w:t>强基线同样有角色要求、完整历史、知识和提示交付记录，保留现有校验；角色端按相同权限过滤知识，教师私有评分答案仅用于评价端。两方法固定同一模型版本和参数。这是同输入方法比较，不是两组学生接受不同平台的教学试验。</w:t>
      </w:r>
      <w:hyperlink w:anchor="ref_R27">
        <w:r>
          <w:rPr>
            <w:color w:val="184E7B"/>
            <w:u w:val="single"/>
            <w:sz w:val="20"/>
            <w:rFonts w:ascii="Times New Roman" w:hAnsi="Times New Roman" w:eastAsia="宋体"/>
          </w:rPr>
          <w:t>[13]</w:t>
        </w:r>
      </w:hyperlink>
      <w:r/>
    </w:p>
    <w:p>
      <w:r>
        <w:rPr>
          <w:sz w:val="20"/>
        </w:rPr>
        <w:t>建议两个设备接入同一平台，并确认会话互不串联。只有一个设备时宜安排 8 人或延长时段；人数和分析范围在活动前确定。</w:t>
      </w:r>
    </w:p>
    <w:p>
      <w:pPr>
        <w:pStyle w:val="Heading1"/>
        <w:pageBreakBefore/>
      </w:pPr>
      <w:r>
        <w:t>实验前当天和结束后各方做什么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139"/>
        <w:gridCol w:w="408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研究团队负责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张教授或指定教师负责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10 月 5–6 日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整理四站材料；准备任务单、匿名分组、表单和日志；4 个开发例试跑，不计正式集；问卷请 2 名非正式样本试读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确认学生和时间；核对四站原标准及 16 个核心项；用试跑记录校准“符合、未满足、提示及纠正”的判断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10 月 7 日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两设备：09:15–11:45、13:15–15:45 各 8 人；统一说明及设备协助；采集两站实际回复；结束后反馈及问卷；记录中断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约 30–60 分钟查看流程及少量完整会话；记录临床或教学问题，不现场提示被试答案；无需陪同全部学生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10 月 8–10 日</w:t>
            </w:r>
          </w:p>
        </w:tc>
        <w:tc>
          <w:tcPr>
            <w:tcW w:type="dxa" w:w="413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只校正听错文字和角色归属；保留学生实际错误；准备匿名片段及两方法输出；计算指标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先独立核验完整会话及证据，再看两方法结果；完成第 5、6 页表格；复杂问题回听；按第 7 页给教学评价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t>原评分表和教师批注直接采用，不要求重新制定标准。只有原材料不能决定的歧义才共同讨论；未解决的条目在正式比较前移出核验范围。拟每站核验四项，不声称四站全部评分条目都完成验证。</w:t>
      </w:r>
    </w:p>
    <w:p>
      <w:pPr>
        <w:pStyle w:val="Heading2"/>
      </w:pPr>
      <w:r>
        <w:t>教师工作量需要提前确认</w:t>
      </w:r>
    </w:p>
    <w:p>
      <w:r>
        <w:t>真人包含 32 场四项参考与 64 条角色回复。按每场 6–8 分钟、每条短回复 30–45 秒及校准、回听安排，第一位教师预计约 5.5–7.5 小时，分散在课前和课后；用 2 场试评记录真实用时再调整。第二位教师可预选每站 2 场、共 8 场及对应回复，先独立复评再讨论，约需 1.5–2.5 小时。仅一位教师时，称单专家参考，不称双评金标准。</w:t>
      </w:r>
    </w:p>
    <w:p>
      <w:r>
        <w:t>若教师时间受限，可在活动前确定只核验 16 场：每名学生一场、四站各四场、首站和次站各八场，按试评用时重新安排预算。其余会话保留作后续资料，不混入主比较。研究团队先准备规则出处、相关原句和可回查的完整稿，教师无需整理文件。</w:t>
      </w:r>
    </w:p>
    <w:p>
      <w:pPr>
        <w:pStyle w:val="Heading2"/>
      </w:pPr>
      <w:r>
        <w:t>模拟检查与最小消融</w:t>
      </w:r>
    </w:p>
    <w:p>
      <w:r>
        <w:t>另准备 16 个短脚本，四站各 4 个，分别检查来源归属、提示后果、药物或患者条件、错误与纠正。每段约 6–10 条发言，冻结一处下一回复位置及一项评价参考。模型可帮助起草语言，参考须由教师依据原标准核验，不能由被测模型自行定答案。</w:t>
      </w:r>
      <w:hyperlink w:anchor="ref_R14">
        <w:r>
          <w:rPr>
            <w:color w:val="184E7B"/>
            <w:u w:val="single"/>
            <w:sz w:val="20"/>
            <w:rFonts w:ascii="Times New Roman" w:hAnsi="Times New Roman" w:eastAsia="宋体"/>
          </w:rPr>
          <w:t>[6]</w:t>
        </w:r>
      </w:hyperlink>
      <w:r/>
      <w:hyperlink w:anchor="ref_R29">
        <w:r>
          <w:rPr>
            <w:color w:val="184E7B"/>
            <w:u w:val="single"/>
            <w:sz w:val="20"/>
            <w:rFonts w:ascii="Times New Roman" w:hAnsi="Times New Roman" w:eastAsia="宋体"/>
          </w:rPr>
          <w:t>[12]</w:t>
        </w:r>
      </w:hyperlink>
      <w:r/>
    </w:p>
    <w:p>
      <w:r>
        <w:t>例如甲癣脚本分别记录“指定提示已发出”“只有提示草稿”“普通澄清”。先比较 EGJ 与强基线；再重放同一份证据，只关闭“实际提示影响评价后果”的关联。其他条件不改，检查是否仅丢失应有上限。未发提示和普通澄清应不受影响。这是一次机制检查，不另开发平台。</w:t>
      </w:r>
      <w:hyperlink w:anchor="ref_R30">
        <w:r>
          <w:rPr>
            <w:color w:val="184E7B"/>
            <w:u w:val="single"/>
            <w:sz w:val="20"/>
            <w:rFonts w:ascii="Times New Roman" w:hAnsi="Times New Roman" w:eastAsia="宋体"/>
          </w:rPr>
          <w:t>[14]</w:t>
        </w:r>
      </w:hyperlink>
      <w:r/>
    </w:p>
    <w:p>
      <w:r>
        <w:t>该模拟包另需约 1.5–2 小时教师核验，未确认时间前不承诺全部完成。更正式的 80 个独立脚本基准需另外约 6.5–8.3 小时教师工作，作为后续扩展，不压在 10 月 7 日，也不把 16 个脚本写成 80 个已验证样本。</w:t>
      </w:r>
    </w:p>
    <w:p>
      <w:pPr>
        <w:pStyle w:val="Heading1"/>
        <w:pageBreakBefore/>
      </w:pPr>
      <w:r>
        <w:t>教师表一 角色表现核验表</w:t>
      </w:r>
    </w:p>
    <w:p>
      <w:r>
        <w:t>本表每段角色回复填一份。研究团队将两方法回复打乱成甲、乙，附相同的前文和本站要求，隐藏方法名。教师依据角色要求检查实际回复，不能只凭“像不像真人”给一个印象分。</w:t>
      </w:r>
      <w:hyperlink w:anchor="ref_R01">
        <w:r>
          <w:rPr>
            <w:color w:val="184E7B"/>
            <w:u w:val="single"/>
            <w:sz w:val="20"/>
            <w:rFonts w:ascii="Times New Roman" w:hAnsi="Times New Roman" w:eastAsia="宋体"/>
          </w:rPr>
          <w:t>[2]</w:t>
        </w:r>
      </w:hyperlink>
      <w:r/>
    </w:p>
    <w:p>
      <w:pPr>
        <w:spacing w:line="312" w:lineRule="auto" w:after="140"/>
      </w:pPr>
      <w:r>
        <w:t>记录编号 __________  考站 __________  教师 __________  日期 __________</w:t>
      </w:r>
    </w:p>
    <w:p>
      <w:pPr>
        <w:spacing w:line="312" w:lineRule="auto" w:after="140"/>
      </w:pPr>
      <w:r>
        <w:t>对话位置或时间 __________  回复编号 □ 甲  □ 乙  材料版本 __________</w:t>
      </w:r>
    </w:p>
    <w:p>
      <w:r>
        <w:t>研究团队先列出本段适用的要求，最多三条；教师仅看共同前文和规则确认适用性，冻结后再盲评回复。允许但非必须的回答没有出现，不算遗漏。以下五类用于查漏，不是每段都要检查五项。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311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核验类别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本段需要检查的具体内容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20"/>
              </w:rPr>
              <w:t>适用及判断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必须回答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已触发且本站必须提供的信息是否回答；应答内容：________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□ 不适用 □ 无法核验</w:t>
              <w:br/>
              <w:t>□ 符合 □ 不符合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病例事实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患者条件、病史及用药是否与本站固定事实相符；事实：________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□ 不适用 □ 无法核验</w:t>
              <w:br/>
              <w:t>□ 符合 □ 不符合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发言权限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是否越权给标准答案，或提供角色不应掌握的信息；边界：________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□ 不适用 □ 无法核验</w:t>
              <w:br/>
              <w:t>□ 符合 □ 不符合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来源与时点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是否只复述或使用当时已知内容，未把后来的信息当成已知；要求：________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20"/>
              </w:rPr>
              <w:t>□ 不适用 □ 无法核验</w:t>
              <w:br/>
              <w:t>□ 符合 □ 不符合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提示使用</w:t>
            </w:r>
          </w:p>
        </w:tc>
        <w:tc>
          <w:tcPr>
            <w:tcW w:type="dxa" w:w="510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是否为本站指定提示；触发、次数与实际发出内容是否合规；提示：________</w:t>
            </w:r>
          </w:p>
        </w:tc>
        <w:tc>
          <w:tcPr>
            <w:tcW w:type="dxa" w:w="311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20"/>
              </w:rPr>
              <w:t>□ 不适用 □ 无法核验</w:t>
              <w:br/>
              <w:t>□ 符合 □ 不符合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spacing w:line="312" w:lineRule="auto" w:after="140"/>
      </w:pPr>
      <w:r>
        <w:t>支持判断的回复原句或时间 __________________________________________________</w:t>
      </w:r>
    </w:p>
    <w:p>
      <w:pPr>
        <w:spacing w:line="312" w:lineRule="auto" w:after="140"/>
      </w:pPr>
      <w:r>
        <w:t>对应学院要求或批注 ________________________________________________________</w:t>
      </w:r>
    </w:p>
    <w:p>
      <w:pPr>
        <w:spacing w:line="312" w:lineRule="auto" w:after="140"/>
      </w:pPr>
      <w:r>
        <w:t>本段整体 □ 全部适用要求符合  □ 至少一项不符合  □ 目前无法核验</w:t>
      </w:r>
    </w:p>
    <w:p>
      <w:pPr>
        <w:spacing w:line="312" w:lineRule="auto" w:after="140"/>
      </w:pPr>
      <w:r>
        <w:t>若不符合或无法核验，原因及需要回看的内容 ___________________________________</w:t>
      </w:r>
    </w:p>
    <w:p>
      <w:pPr>
        <w:pStyle w:val="Heading2"/>
      </w:pPr>
      <w:r>
        <w:t>填写例子</w:t>
      </w:r>
    </w:p>
    <w:p>
      <w:r>
        <w:t>学生刚给出 MTX 每日一次的错误建议，患者问“即係每日食一次？”若本站允许复述确认，且患者没有擅自替学生给出正确用法，可判本段角色合规。不能因为学生建议错误，就直接认定患者复述违规；学生建议的正确性在表二核验。</w:t>
      </w:r>
    </w:p>
    <w:p>
      <w:r>
        <w:t>若患者未经授权主动说出“应该每周一次”，应核验是否越权泄露答案。确有系统干预时记录被影响的条目，由教师复核，不自动给学生满分或扣分。</w:t>
      </w:r>
    </w:p>
    <w:p>
      <w:pPr>
        <w:pStyle w:val="Heading2"/>
      </w:pPr>
      <w:r>
        <w:t>无法核验和失败如何处理</w:t>
      </w:r>
    </w:p>
    <w:p>
      <w:r>
        <w:t>资料不全时回查完整稿或音频；仍不能判断的单列，不能默认为符合。超时或空输出按系统失败记 0。退出、撤回或记录缺失而无法建立参考的，另报原因；可用资料中已发生的模型失败仍记 0，不能因系统故障导致退出就消除失败。撤回资料按学院流程处理。</w:t>
      </w:r>
    </w:p>
    <w:p>
      <w:pPr>
        <w:pStyle w:val="Heading1"/>
        <w:pageBreakBefore/>
      </w:pPr>
      <w:r>
        <w:t>教师表二 学生表现与系统评价核验表</w:t>
      </w:r>
    </w:p>
    <w:p>
      <w:r>
        <w:t>教师先依据原学院 rubric 独立判断，再比较系统；不依据系统解释建立参考。下面每站四项是本研究的核心核验项，不替代整站原评分表。完整原表和批注均可点击打开。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8447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考站</w:t>
            </w:r>
          </w:p>
        </w:tc>
        <w:tc>
          <w:tcPr>
            <w:tcW w:type="dxa" w:w="84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四个核心核验项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甲癣</w:t>
            </w:r>
          </w:p>
        </w:tc>
        <w:tc>
          <w:tcPr>
            <w:tcW w:type="dxa" w:w="84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本例心衰条件下 itraconazole 的适用性；② 与 atorvastatin 的相互作用；③ terbinafine 替代方案；④ 本例肾功能条件下 terbinafine 125 mg 每日一次、12 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偏头痛</w:t>
            </w:r>
          </w:p>
        </w:tc>
        <w:tc>
          <w:tcPr>
            <w:tcW w:type="dxa" w:w="84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① 建议替代药前询问过敏；② 病例特定 ergotamine 禁忌；③ 合适急性替代药；④ 药物与用法绑定，例如 rimegepant 75 mg 单次，24 小时最多 75 mg。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利尿药</w:t>
            </w:r>
          </w:p>
        </w:tc>
        <w:tc>
          <w:tcPr>
            <w:tcW w:type="dxa" w:w="84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咨询结束前询问过敏；② rosuvastatin 20 mg 每日一次；③ frusemide 20 mg 白天按需、每日最多 20 mg、不自行调量；④ 心衰常见症状及相应自我照护。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MTX</w:t>
            </w:r>
          </w:p>
        </w:tc>
        <w:tc>
          <w:tcPr>
            <w:tcW w:type="dxa" w:w="844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① 明确强调每周一次；② 不同漏服时间的处理；③ 叶酸每周一次且与 MTX 不同日；④ 不建议双倍 MTX 补漏服。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pPr>
        <w:spacing w:after="80"/>
      </w:pPr>
      <w:r/>
      <w:hyperlink r:id="rId14">
        <w:r>
          <w:rPr>
            <w:color w:val="184E7B"/>
            <w:u w:val="single"/>
            <w:sz w:val="18"/>
            <w:rFonts w:ascii="Times New Roman" w:hAnsi="Times New Roman" w:eastAsia="宋体"/>
          </w:rPr>
          <w:t>甲癣原评分表</w:t>
        </w:r>
      </w:hyperlink>
      <w:r>
        <w:t xml:space="preserve">　</w:t>
      </w:r>
      <w:hyperlink r:id="rId15">
        <w:r>
          <w:rPr>
            <w:color w:val="184E7B"/>
            <w:u w:val="single"/>
            <w:sz w:val="18"/>
            <w:rFonts w:ascii="Times New Roman" w:hAnsi="Times New Roman" w:eastAsia="宋体"/>
          </w:rPr>
          <w:t>偏头痛原评分表</w:t>
        </w:r>
      </w:hyperlink>
      <w:r>
        <w:t xml:space="preserve">　</w:t>
      </w:r>
      <w:hyperlink r:id="rId16">
        <w:r>
          <w:rPr>
            <w:color w:val="184E7B"/>
            <w:u w:val="single"/>
            <w:sz w:val="18"/>
            <w:rFonts w:ascii="Times New Roman" w:hAnsi="Times New Roman" w:eastAsia="宋体"/>
          </w:rPr>
          <w:t>利尿药原评分表</w:t>
        </w:r>
      </w:hyperlink>
      <w:r>
        <w:t xml:space="preserve">　</w:t>
      </w:r>
      <w:hyperlink r:id="rId17">
        <w:r>
          <w:rPr>
            <w:color w:val="184E7B"/>
            <w:u w:val="single"/>
            <w:sz w:val="18"/>
            <w:rFonts w:ascii="Times New Roman" w:hAnsi="Times New Roman" w:eastAsia="宋体"/>
          </w:rPr>
          <w:t>MTX原评分表</w:t>
        </w:r>
      </w:hyperlink>
      <w:r>
        <w:t xml:space="preserve">　</w:t>
      </w:r>
      <w:hyperlink r:id="rId18">
        <w:r>
          <w:rPr>
            <w:color w:val="184E7B"/>
            <w:u w:val="single"/>
            <w:sz w:val="18"/>
            <w:rFonts w:ascii="Times New Roman" w:hAnsi="Times New Roman" w:eastAsia="宋体"/>
          </w:rPr>
          <w:t>教师批注第13–15页</w:t>
        </w:r>
      </w:hyperlink>
    </w:p>
    <w:p>
      <w:r>
        <w:rPr>
          <w:sz w:val="19"/>
        </w:rPr>
        <w:t>后果必须区分：甲癣只有指定风险提示符合条件时才用原表 C+ 上限；利尿药提示后完整答对不降级，仍不完整按批注处理；MTX 明确双倍建议、实际建议同日用药与单纯遗漏不是同一种错误。自行更正保留历史，依原规则处理，不新设免罚或永久失败。</w:t>
      </w:r>
    </w:p>
    <w:p>
      <w:pPr>
        <w:spacing w:line="312" w:lineRule="auto" w:after="140"/>
      </w:pPr>
      <w:r>
        <w:t>会话编号 __________  考站 __________  教师 __________  转写版本 __________</w:t>
      </w:r>
    </w:p>
    <w:p>
      <w:r>
        <w:rPr>
          <w:sz w:val="19"/>
        </w:rPr>
        <w:t>每项填下列短码并附原句：状态 M 已满足／N 未满足／U 无法判定／NA 不适用；后果写“无”或原表上限、降级、失败；修订写“无相关错误／未解决／已纠正保留历史”；复核写“否／是及原因”。后三字段是否比较，由研究团队在看系统结果前标定，教师确认。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025"/>
        <w:gridCol w:w="442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核验项</w:t>
            </w:r>
          </w:p>
        </w:tc>
        <w:tc>
          <w:tcPr>
            <w:tcW w:type="dxa" w:w="402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教师状态及原句或时间</w:t>
            </w:r>
          </w:p>
        </w:tc>
        <w:tc>
          <w:tcPr>
            <w:tcW w:type="dxa" w:w="442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243F54"/>
          </w:tcPr>
          <w:p>
            <w:pPr>
              <w:keepNext/>
              <w:spacing w:line="264" w:lineRule="auto" w:after="0"/>
            </w:pPr>
            <w:r>
              <w:rPr>
                <w:b/>
                <w:color w:val="FFFFFF"/>
                <w:sz w:val="19"/>
              </w:rPr>
              <w:t>后果  修订  复核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① ______</w:t>
            </w:r>
          </w:p>
        </w:tc>
        <w:tc>
          <w:tcPr>
            <w:tcW w:type="dxa" w:w="402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状态 ____</w:t>
              <w:br/>
              <w:t>原句或时间 __________</w:t>
            </w:r>
          </w:p>
        </w:tc>
        <w:tc>
          <w:tcPr>
            <w:tcW w:type="dxa" w:w="442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适用字段 __________</w:t>
              <w:br/>
              <w:t>后果 ____ 修订 ____ 复核 ____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② ______</w:t>
            </w:r>
          </w:p>
        </w:tc>
        <w:tc>
          <w:tcPr>
            <w:tcW w:type="dxa" w:w="402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状态 ____</w:t>
              <w:br/>
              <w:t>原句或时间 __________</w:t>
            </w:r>
          </w:p>
        </w:tc>
        <w:tc>
          <w:tcPr>
            <w:tcW w:type="dxa" w:w="442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适用字段 __________</w:t>
              <w:br/>
              <w:t>后果 ____ 修订 ____ 复核 ____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③ ______</w:t>
            </w:r>
          </w:p>
        </w:tc>
        <w:tc>
          <w:tcPr>
            <w:tcW w:type="dxa" w:w="402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状态 ____</w:t>
              <w:br/>
              <w:t>原句或时间 __________</w:t>
            </w:r>
          </w:p>
        </w:tc>
        <w:tc>
          <w:tcPr>
            <w:tcW w:type="dxa" w:w="442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line="264" w:lineRule="auto" w:after="0"/>
            </w:pPr>
            <w:r>
              <w:rPr>
                <w:sz w:val="19"/>
              </w:rPr>
              <w:t>适用字段 __________</w:t>
              <w:br/>
              <w:t>后果 ____ 修订 ____ 复核 ____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④ ______</w:t>
            </w:r>
          </w:p>
        </w:tc>
        <w:tc>
          <w:tcPr>
            <w:tcW w:type="dxa" w:w="402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状态 ____</w:t>
              <w:br/>
              <w:t>原句或时间 __________</w:t>
            </w:r>
          </w:p>
        </w:tc>
        <w:tc>
          <w:tcPr>
            <w:tcW w:type="dxa" w:w="442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F4F6F8"/>
          </w:tcPr>
          <w:p>
            <w:pPr>
              <w:spacing w:line="264" w:lineRule="auto" w:after="0"/>
            </w:pPr>
            <w:r>
              <w:rPr>
                <w:sz w:val="19"/>
              </w:rPr>
              <w:t>适用字段 __________</w:t>
              <w:br/>
              <w:t>后果 ____ 修订 ____ 复核 ____</w:t>
            </w:r>
          </w:p>
        </w:tc>
      </w:tr>
    </w:tbl>
    <w:p>
      <w:pPr>
        <w:spacing w:after="40" w:line="40" w:lineRule="exact"/>
      </w:pPr>
      <w:r/>
      <w:r>
        <w:rPr>
          <w:sz w:val="4"/>
        </w:rPr>
      </w:r>
    </w:p>
    <w:p>
      <w:r>
        <w:rPr>
          <w:sz w:val="19"/>
        </w:rPr>
        <w:t>例如指定提示后学生补答正确：状态可为 M，但还须填本站适用上限；系统只判 M 却漏上限，该项仍不一致。患者复述学生的话，不能作为学生新答对的证据。</w:t>
      </w:r>
    </w:p>
    <w:p>
      <w:r>
        <w:rPr>
          <w:sz w:val="19"/>
        </w:rPr>
        <w:t>参考确认后，研究团队逐项比对状态、规则后果、错误修订、需复核四个字段；后三按预定适用性比较，全部匹配才通过。教师复核分歧并写原因；保留原始独立判断，不能只留讨论后的答案。</w:t>
      </w:r>
      <w:hyperlink w:anchor="ref_R29">
        <w:r>
          <w:rPr>
            <w:color w:val="184E7B"/>
            <w:u w:val="single"/>
            <w:sz w:val="20"/>
            <w:rFonts w:ascii="Times New Roman" w:hAnsi="Times New Roman" w:eastAsia="宋体"/>
          </w:rPr>
          <w:t>[12]</w:t>
        </w:r>
      </w:hyperlink>
      <w:r>
        <w:rPr>
          <w:sz w:val="19"/>
        </w:rPr>
        <w:t xml:space="preserve"> 若需整站等级或分数，仍按原评分表填写，尺度明确且核验充分时另作分析。</w:t>
      </w:r>
    </w:p>
    <w:p>
      <w:pPr>
        <w:pStyle w:val="Heading1"/>
        <w:pageBreakBefore/>
      </w:pPr>
      <w:r>
        <w:t>学生问卷与教师教学评价</w:t>
      </w:r>
    </w:p>
    <w:p>
      <w:r>
        <w:t>学生在两站结束并看过反馈后填写，约 3 分钟。匿名编号 ______  年级 ______  两个考站 ______。问卷只描述体验，不能代替角色或评分准确性。题目为本研究自编，先请两名非正式样本试读，不称已验证量表，不合成总分。</w:t>
      </w:r>
      <w:hyperlink w:anchor="ref_R33">
        <w:r>
          <w:rPr>
            <w:color w:val="184E7B"/>
            <w:u w:val="single"/>
            <w:sz w:val="20"/>
            <w:rFonts w:ascii="Times New Roman" w:hAnsi="Times New Roman" w:eastAsia="宋体"/>
          </w:rPr>
          <w:t>[16]</w:t>
        </w:r>
      </w:hyperlink>
      <w:r/>
      <w:hyperlink w:anchor="ref_R26">
        <w:r>
          <w:rPr>
            <w:color w:val="184E7B"/>
            <w:u w:val="single"/>
            <w:sz w:val="20"/>
            <w:rFonts w:ascii="Times New Roman" w:hAnsi="Times New Roman" w:eastAsia="宋体"/>
          </w:rPr>
          <w:t>[17]</w:t>
        </w:r>
      </w:hyperlink>
      <w:r/>
    </w:p>
    <w:p>
      <w:r>
        <w:rPr>
          <w:b/>
        </w:rPr>
        <w:t>每题只选一个：1 非常不同意；2 不同意；3 中立；4 同意；5 非常同意；X 无法判断。</w:t>
      </w:r>
    </w:p>
    <w:p>
      <w:pPr>
        <w:spacing w:after="60"/>
      </w:pPr>
      <w:r>
        <w:rPr>
          <w:b/>
        </w:rPr>
        <w:t>1 我能理解任务和操作方式，顺利开始、继续和结束咨询。</w:t>
      </w:r>
    </w:p>
    <w:p>
      <w:pPr>
        <w:spacing w:after="180"/>
      </w:pPr>
      <w:r>
        <w:t>□ 1      □ 2      □ 3      □ 4      □ 5      □ X</w:t>
      </w:r>
    </w:p>
    <w:p>
      <w:pPr>
        <w:spacing w:after="60"/>
      </w:pPr>
      <w:r>
        <w:rPr>
          <w:b/>
        </w:rPr>
        <w:t>2 系统在会话中保持了清楚的医生或患者身份。</w:t>
      </w:r>
    </w:p>
    <w:p>
      <w:pPr>
        <w:spacing w:after="180"/>
      </w:pPr>
      <w:r>
        <w:t>□ 1      □ 2      □ 3      □ 4      □ 5      □ X</w:t>
      </w:r>
    </w:p>
    <w:p>
      <w:pPr>
        <w:spacing w:after="60"/>
      </w:pPr>
      <w:r>
        <w:rPr>
          <w:b/>
        </w:rPr>
        <w:t>3 角色前后提供的信息基本一致，没有明显冲突影响我继续咨询。</w:t>
      </w:r>
    </w:p>
    <w:p>
      <w:pPr>
        <w:spacing w:after="180"/>
      </w:pPr>
      <w:r>
        <w:t>□ 1      □ 2      □ 3      □ 4      □ 5      □ X</w:t>
      </w:r>
    </w:p>
    <w:p>
      <w:pPr>
        <w:spacing w:after="60"/>
      </w:pPr>
      <w:r>
        <w:rPr>
          <w:b/>
        </w:rPr>
        <w:t>4 反馈引用的原话或行为，与我在咨询中的实际表现相符。</w:t>
      </w:r>
    </w:p>
    <w:p>
      <w:pPr>
        <w:spacing w:after="180"/>
      </w:pPr>
      <w:r>
        <w:t>□ 1      □ 2      □ 3      □ 4      □ 5      □ X</w:t>
      </w:r>
    </w:p>
    <w:p>
      <w:pPr>
        <w:spacing w:after="60"/>
      </w:pPr>
      <w:r>
        <w:rPr>
          <w:b/>
        </w:rPr>
        <w:t>5 反馈让我清楚下一次咨询需要改进哪些具体做法。</w:t>
      </w:r>
    </w:p>
    <w:p>
      <w:pPr>
        <w:spacing w:after="180"/>
      </w:pPr>
      <w:r>
        <w:t>□ 1      □ 2      □ 3      □ 4      □ 5      □ X</w:t>
      </w:r>
    </w:p>
    <w:p>
      <w:r>
        <w:t>未看到或无法理解反馈时，第 4、5 题选 X。研究助理不解释成“应该选同意”。</w:t>
      </w:r>
    </w:p>
    <w:p>
      <w:pPr>
        <w:spacing w:line="312" w:lineRule="auto" w:after="140"/>
      </w:pPr>
      <w:r>
        <w:t>哪一句角色回复最不合理或最难继续交流  _______________________________________</w:t>
      </w:r>
    </w:p>
    <w:p>
      <w:pPr>
        <w:spacing w:line="312" w:lineRule="auto" w:after="140"/>
      </w:pPr>
      <w:r>
        <w:t>哪一项反馈与实际表现不符或不知道怎样改进  ___________________________________</w:t>
      </w:r>
    </w:p>
    <w:p>
      <w:pPr>
        <w:pStyle w:val="Heading2"/>
      </w:pPr>
      <w:r>
        <w:t>如共同开展反馈研究可增加的小任务</w:t>
      </w:r>
    </w:p>
    <w:p>
      <w:r>
        <w:t>学生分别选两站的一条反馈，各填写：“它对应我说的哪一句话？下次我会具体怎样改？还有什么不明白？”约再用 3–5 分钟。是否增加此任务及访谈，应在活动前决定，并纳入研究说明。单靠五题体验问卷不足以承诺另一篇论文。</w:t>
      </w:r>
    </w:p>
    <w:p>
      <w:pPr>
        <w:spacing w:line="312" w:lineRule="auto" w:after="140"/>
      </w:pPr>
      <w:r>
        <w:t>反馈一的原句及下一次做法 __________________________________________________</w:t>
      </w:r>
    </w:p>
    <w:p>
      <w:pPr>
        <w:spacing w:line="312" w:lineRule="auto" w:after="140"/>
      </w:pPr>
      <w:r>
        <w:t>反馈二的原句及下一次做法 __________________________________________________</w:t>
      </w:r>
    </w:p>
    <w:p>
      <w:pPr>
        <w:pStyle w:val="Heading2"/>
      </w:pPr>
      <w:r>
        <w:t>教师看过记录后填写的教学意见</w:t>
      </w:r>
    </w:p>
    <w:p>
      <w:r>
        <w:t>由张教授或指定教师填写，用于解释应用问题，不作两位教师的总体统计：</w:t>
      </w:r>
    </w:p>
    <w:p>
      <w:pPr>
        <w:spacing w:line="312" w:lineRule="auto" w:after="140"/>
      </w:pPr>
      <w:r>
        <w:t>最影响病例真实性或学生发挥的角色行为 _______________________________________</w:t>
      </w:r>
    </w:p>
    <w:p>
      <w:pPr>
        <w:spacing w:line="312" w:lineRule="auto" w:after="140"/>
      </w:pPr>
      <w:r>
        <w:t>最需要教师复核的评价或反馈及原因 ___________________________________________</w:t>
      </w:r>
    </w:p>
    <w:p>
      <w:pPr>
        <w:spacing w:line="312" w:lineRule="auto" w:after="140"/>
      </w:pPr>
      <w:r>
        <w:t>适合用于什么教学活动  _________  不宜用于什么考核决定  _______________________</w:t>
      </w:r>
    </w:p>
    <w:p>
      <w:r>
        <w:t>教师的临床核验来自第 5、6 页；本页的教学意见另作质性描述。问卷逐题报告人数、选项分布和中位数，并保留开放意见中的原始含义。</w:t>
      </w:r>
      <w:hyperlink w:anchor="ref_R33">
        <w:r>
          <w:rPr>
            <w:color w:val="184E7B"/>
            <w:u w:val="single"/>
            <w:sz w:val="20"/>
            <w:rFonts w:ascii="Times New Roman" w:hAnsi="Times New Roman" w:eastAsia="宋体"/>
          </w:rPr>
          <w:t>[16]</w:t>
        </w:r>
      </w:hyperlink>
      <w:r/>
    </w:p>
    <w:p>
      <w:pPr>
        <w:pStyle w:val="Heading1"/>
        <w:pageBreakBefore/>
      </w:pPr>
      <w:r>
        <w:t>指标计算与需要共同商讨的问题</w:t>
      </w:r>
    </w:p>
    <w:p>
      <w:pPr>
        <w:pStyle w:val="Heading2"/>
      </w:pPr>
      <w:r>
        <w:t>怎样得到本次的两个核心指标</w:t>
      </w:r>
    </w:p>
    <w:p>
      <w:r>
        <w:t>本研究把角色一致性具体化为遵守相同病例与披露规则。角色合规率＝全部适用要求均符合的回复数÷有教师参考的配对位置数。计划 32 个位置，各有两方法的一条回复，分别算率；稳定地越权仍是失败。</w:t>
      </w:r>
    </w:p>
    <w:p>
      <w:r>
        <w:t>评价决策精确一致率＝状态、规则后果、错误修订、需复核四字段全部与教师相同的项目数÷有教师参考的核心项目数；后三按预定适用性比较。计划 32 场×4 项＝128 项；漏上限或纠正状态即整项不一致。学生答错而系统正确判未满足，属于系统正确。另报四项全一致的会话数。</w:t>
      </w:r>
    </w:p>
    <w:p>
      <w:r>
        <w:t>团队保存匿名编号、病例和标准版本、转写、说话者、实际回复及提示时间、抽样当轮原始输入快照、模型输出、失败及教师依据。校正听错文字不改学生真实错误；评分用同一校正稿，角色用同一原始历史。空输出记 0；无法建立参考的缺失单列，不选择性排除某方法失败。</w:t>
      </w:r>
    </w:p>
    <w:p>
      <w:r>
        <w:t>分别列成功数、实际分母、百分点差与错误类型。真人区间以学生为单位成组重采样，两站及多项目一起保留；仅 16 个学生，精度有限。模拟独立故事可报 Wilson 区间及预定 McNemar 配对分析，不与真人合并；16 脚本全通过的 Wilson 95% 下界也仅约 80.6%。双评另报一致数和分歧，类别适合时报告 κ。</w:t>
      </w:r>
      <w:hyperlink w:anchor="ref_STATCI">
        <w:r>
          <w:rPr>
            <w:color w:val="184E7B"/>
            <w:u w:val="single"/>
            <w:sz w:val="20"/>
            <w:rFonts w:ascii="Times New Roman" w:hAnsi="Times New Roman" w:eastAsia="宋体"/>
          </w:rPr>
          <w:t>[18]</w:t>
        </w:r>
      </w:hyperlink>
      <w:r/>
      <w:hyperlink w:anchor="ref_STATMC">
        <w:r>
          <w:rPr>
            <w:color w:val="184E7B"/>
            <w:u w:val="single"/>
            <w:sz w:val="20"/>
            <w:rFonts w:ascii="Times New Roman" w:hAnsi="Times New Roman" w:eastAsia="宋体"/>
          </w:rPr>
          <w:t>[19]</w:t>
        </w:r>
      </w:hyperlink>
      <w:r/>
    </w:p>
    <w:p>
      <w:r>
        <w:t>16 人和 16 脚本是资源下的试点安排，不是公认最低样本或两项一定显著的功效保证。若差值区间宽，需扩展独立脚本或学生。现场历史由 EGJ 产生、基线为离线替代，结果限于同输入表现，不等同两平台的教学因果效果。问卷认可不能补足准确性证据。</w:t>
      </w:r>
      <w:hyperlink w:anchor="ref_R18">
        <w:r>
          <w:rPr>
            <w:color w:val="184E7B"/>
            <w:u w:val="single"/>
            <w:sz w:val="20"/>
            <w:rFonts w:ascii="Times New Roman" w:hAnsi="Times New Roman" w:eastAsia="宋体"/>
          </w:rPr>
          <w:t>[15]</w:t>
        </w:r>
      </w:hyperlink>
      <w:r/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  <w:hyperlink w:anchor="ref_R26">
        <w:r>
          <w:rPr>
            <w:color w:val="184E7B"/>
            <w:u w:val="single"/>
            <w:sz w:val="20"/>
            <w:rFonts w:ascii="Times New Roman" w:hAnsi="Times New Roman" w:eastAsia="宋体"/>
          </w:rPr>
          <w:t>[17]</w:t>
        </w:r>
      </w:hyperlink>
      <w:r/>
    </w:p>
    <w:p>
      <w:pPr>
        <w:pStyle w:val="Heading2"/>
      </w:pPr>
      <w:r>
        <w:t>活动前希望与张教授确认</w:t>
      </w:r>
    </w:p>
    <w:p>
      <w:r>
        <w:t>1. 学院以往怎样判断 OSCE 成功：角色标准化、评分员一致性、关键错误、可用性或其他指标？有无同四站的匿名录像、逐项评分及可靠性结果？</w:t>
      </w:r>
    </w:p>
    <w:p>
      <w:r>
        <w:t>2. 原标准的提示、纠正及安全后果是否可直接用于本研究？本次四项核验是否覆盖各站最重要的判断？哪些错误应列为不可接受，目标阈值如何预先确定？</w:t>
      </w:r>
    </w:p>
    <w:p>
      <w:r>
        <w:t>3. 10 月 7 日可招募多少学生、哪些年级、可用几个设备？教师可投入多少核验时间，能否邀请第二位教师复评？</w:t>
      </w:r>
    </w:p>
    <w:p>
      <w:r>
        <w:t>4. 试用的研究批准、录音与匿名共享范围怎样安排？需要保留哪些记录，哪些只能在学院内部使用？</w:t>
      </w:r>
    </w:p>
    <w:p>
      <w:pPr>
        <w:pStyle w:val="Heading2"/>
      </w:pPr>
      <w:r>
        <w:t>沿用人工标准与拓展另一篇论文</w:t>
      </w:r>
    </w:p>
    <w:p>
      <w:r>
        <w:t>人工标准可作为 EGJ 的规则来源。若有同病例、同版本标准、相近学生阶段的录像，可让教师与 AI 判断同一表现；限定双方共同可观察的条目，才能比较评分。若要声称 AI 角色达到或超过真人，仍需同任务的真人角色记录及同一核验。不同历史学生的总分或通过率不能直接证明 AI 更优。</w:t>
      </w:r>
      <w:hyperlink w:anchor="ref_R17">
        <w:r>
          <w:rPr>
            <w:color w:val="184E7B"/>
            <w:u w:val="single"/>
            <w:sz w:val="20"/>
            <w:rFonts w:ascii="Times New Roman" w:hAnsi="Times New Roman" w:eastAsia="宋体"/>
          </w:rPr>
          <w:t>[11]</w:t>
        </w:r>
      </w:hyperlink>
      <w:r/>
    </w:p>
    <w:p>
      <w:r>
        <w:t>第二篇可考虑“药学 AI OSCE 反馈的可核查性与可行动性”：复用 32 场，但新增第 7 页短任务、反馈建议级临床核验，必要时访谈，回答学生能否理解依据并提出具体改进。它需要独立问题、终点与新增分析；两稿披露共享数据并交叉引用。若只收五题体验，宜作为主文补充，不承诺另文；没有前后测和对照，不称学习增益。</w:t>
      </w:r>
      <w:hyperlink w:anchor="ref_R33">
        <w:r>
          <w:rPr>
            <w:color w:val="184E7B"/>
            <w:u w:val="single"/>
            <w:sz w:val="20"/>
            <w:rFonts w:ascii="Times New Roman" w:hAnsi="Times New Roman" w:eastAsia="宋体"/>
          </w:rPr>
          <w:t>[16]</w:t>
        </w:r>
      </w:hyperlink>
      <w:r/>
      <w:hyperlink w:anchor="ref_IEEE">
        <w:r>
          <w:rPr>
            <w:color w:val="184E7B"/>
            <w:u w:val="single"/>
            <w:sz w:val="20"/>
            <w:rFonts w:ascii="Times New Roman" w:hAnsi="Times New Roman" w:eastAsia="宋体"/>
          </w:rPr>
          <w:t>[20]</w:t>
        </w:r>
      </w:hyperlink>
      <w:r/>
    </w:p>
    <w:p>
      <w:pPr>
        <w:pStyle w:val="Heading1"/>
        <w:pageBreakBefore/>
      </w:pPr>
      <w:r>
        <w:t>参考文献与原文定位</w:t>
      </w:r>
    </w:p>
    <w:p>
      <w:r>
        <w:rPr>
          <w:sz w:val="19"/>
        </w:rPr>
        <w:t>编号可由正文点击跳转。原论文链接保留外部来源；已有全文附本地 PDF。中文定位说明给出本方案具体借鉴内容。学院原表及教师批注见第 6 页。</w:t>
      </w:r>
    </w:p>
    <w:p>
      <w:bookmarkStart w:id="1" w:name="ref_STURPE"/>
      <w:pPr>
        <w:keepNext/>
        <w:spacing w:after="40" w:line="247" w:lineRule="auto"/>
      </w:pPr>
      <w:r>
        <w:rPr>
          <w:sz w:val="18"/>
        </w:rPr>
        <w:t>[1] D. A. Sturpe. Objective Structured Clinical Examinations in Doctor of Pharmacy Programs in the United States. AJPE 74(8):148, 2010.</w:t>
      </w:r>
      <w:bookmarkEnd w:id="1"/>
    </w:p>
    <w:p>
      <w:pPr>
        <w:keepNext/>
        <w:spacing w:after="40" w:line="247" w:lineRule="auto"/>
      </w:pPr>
      <w:r>
        <w:rPr>
          <w:sz w:val="18"/>
        </w:rPr>
        <w:t>Introduction、Methods、Discussion；支持传统药学 OSCE 的组织和资源问题，不代表 CUHK 当前成本。</w:t>
      </w:r>
    </w:p>
    <w:p>
      <w:pPr>
        <w:spacing w:after="140" w:line="240" w:lineRule="auto"/>
      </w:pPr>
      <w:r/>
      <w:hyperlink r:id="rId19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0">
        <w:r>
          <w:rPr>
            <w:color w:val="184E7B"/>
            <w:u w:val="single"/>
            <w:sz w:val="18"/>
            <w:rFonts w:ascii="Times New Roman" w:hAnsi="Times New Roman" w:eastAsia="宋体"/>
          </w:rPr>
          <w:t>公开正文</w:t>
        </w:r>
      </w:hyperlink>
    </w:p>
    <w:p>
      <w:bookmarkStart w:id="2" w:name="ref_R01"/>
      <w:pPr>
        <w:keepNext/>
        <w:spacing w:after="40" w:line="247" w:lineRule="auto"/>
      </w:pPr>
      <w:r>
        <w:rPr>
          <w:sz w:val="18"/>
        </w:rPr>
        <w:t>[2] Karen L. Lewis et al.. The Association of Standardized Patient Educators (ASPE) Standards of Best Practice (SOBP). Advances in Simulation 2:10, 2017.</w:t>
      </w:r>
      <w:bookmarkEnd w:id="2"/>
    </w:p>
    <w:p>
      <w:pPr>
        <w:keepNext/>
        <w:spacing w:after="40" w:line="247" w:lineRule="auto"/>
      </w:pPr>
      <w:r>
        <w:rPr>
          <w:sz w:val="18"/>
        </w:rPr>
        <w:t>PDF 5–6，§2.2.8–2.2.10、§3.4；支持角色标准化、统一简报及准确评价，不规定人数。</w:t>
      </w:r>
    </w:p>
    <w:p>
      <w:pPr>
        <w:spacing w:after="140" w:line="240" w:lineRule="auto"/>
      </w:pPr>
      <w:r/>
      <w:hyperlink r:id="rId2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2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3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3" w:name="ref_R03"/>
      <w:pPr>
        <w:keepNext/>
        <w:spacing w:after="40" w:line="247" w:lineRule="auto"/>
      </w:pPr>
      <w:r>
        <w:rPr>
          <w:sz w:val="18"/>
        </w:rPr>
        <w:t>[3] S. Bakhaya, E. C. Lehnbom et al.. Development and evaluation of AI chatbot tool for written communication training in self-care: Experiences of pharmacy students and faculty. Currents in Pharmacy Teaching and Learning, 2026.</w:t>
      </w:r>
      <w:bookmarkEnd w:id="3"/>
    </w:p>
    <w:p>
      <w:pPr>
        <w:keepNext/>
        <w:spacing w:after="40" w:line="247" w:lineRule="auto"/>
      </w:pPr>
      <w:r>
        <w:rPr>
          <w:sz w:val="18"/>
        </w:rPr>
        <w:t>PDF 5，Variation matters、Feeling seen；9 名学生与 5 名教师的质性发现，不是错误发生率。</w:t>
      </w:r>
    </w:p>
    <w:p>
      <w:pPr>
        <w:spacing w:after="140" w:line="240" w:lineRule="auto"/>
      </w:pPr>
      <w:r/>
      <w:hyperlink r:id="rId24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5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6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4" w:name="ref_R34"/>
      <w:pPr>
        <w:keepNext/>
        <w:spacing w:after="40" w:line="247" w:lineRule="auto"/>
      </w:pPr>
      <w:r>
        <w:rPr>
          <w:sz w:val="18"/>
        </w:rPr>
        <w:t>[4] Yann Hicke, Jadon Geathers et al.. MedSimAI: Simulation and Formative Feedback Generation to Enhance Deliberate Practice in Medical Education. LAK, 2026.</w:t>
      </w:r>
      <w:bookmarkEnd w:id="4"/>
    </w:p>
    <w:p>
      <w:pPr>
        <w:keepNext/>
        <w:spacing w:after="40" w:line="247" w:lineRule="auto"/>
      </w:pPr>
      <w:r>
        <w:rPr>
          <w:sz w:val="18"/>
        </w:rPr>
        <w:t>作者稿 PDF 5–7，§4.1–4.2、§5.1.2、§5.2.3；支持完整转写与 rubric 的强基线。</w:t>
      </w:r>
    </w:p>
    <w:p>
      <w:pPr>
        <w:spacing w:after="140" w:line="240" w:lineRule="auto"/>
      </w:pPr>
      <w:r/>
      <w:hyperlink r:id="rId27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28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29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5" w:name="ref_SOURIAL"/>
      <w:pPr>
        <w:keepNext/>
        <w:spacing w:after="40" w:line="247" w:lineRule="auto"/>
      </w:pPr>
      <w:r>
        <w:rPr>
          <w:sz w:val="18"/>
        </w:rPr>
        <w:t>[5] M. Sourial, J. C. Hagler. A Pilot Study Using Artificial Intelligence to Enhance Efficiency, Accuracy, and Objectivity in Grading Pharmacy Objective Structured Clinical Examinations. AJPE 89(8):101455, 2025.</w:t>
      </w:r>
      <w:bookmarkEnd w:id="5"/>
    </w:p>
    <w:p>
      <w:pPr>
        <w:keepNext/>
        <w:spacing w:after="40" w:line="247" w:lineRule="auto"/>
      </w:pPr>
      <w:r>
        <w:rPr>
          <w:sz w:val="18"/>
        </w:rPr>
        <w:t>公开摘要仅确认药学自动评分已有研究；未取得全文，不采用其准确率或方法细节作本方案依据。</w:t>
      </w:r>
    </w:p>
    <w:p>
      <w:pPr>
        <w:spacing w:after="140" w:line="240" w:lineRule="auto"/>
      </w:pPr>
      <w:r/>
      <w:hyperlink r:id="rId30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1">
        <w:r>
          <w:rPr>
            <w:color w:val="184E7B"/>
            <w:u w:val="single"/>
            <w:sz w:val="18"/>
            <w:rFonts w:ascii="Times New Roman" w:hAnsi="Times New Roman" w:eastAsia="宋体"/>
          </w:rPr>
          <w:t>官方摘要</w:t>
        </w:r>
      </w:hyperlink>
    </w:p>
    <w:p>
      <w:bookmarkStart w:id="6" w:name="ref_R14"/>
      <w:pPr>
        <w:keepNext/>
        <w:spacing w:after="40" w:line="247" w:lineRule="auto"/>
      </w:pPr>
      <w:r>
        <w:rPr>
          <w:sz w:val="18"/>
        </w:rPr>
        <w:t>[6] Tian Huang, Tom Bourgeade et al.. LLM-Based Data Generation and Clinical Skills Evaluation for Low-Resource French OSCEs. LREC, 2026.</w:t>
      </w:r>
      <w:bookmarkEnd w:id="6"/>
    </w:p>
    <w:p>
      <w:pPr>
        <w:keepNext/>
        <w:spacing w:after="40" w:line="247" w:lineRule="auto"/>
      </w:pPr>
      <w:r>
        <w:rPr>
          <w:sz w:val="18"/>
        </w:rPr>
        <w:t>PDF 5–6，§3.2、§4.2–4.3；支持行为归属和复合规则。其 silver labels 不等于本研究教师参考。</w:t>
      </w:r>
    </w:p>
    <w:p>
      <w:pPr>
        <w:spacing w:after="140" w:line="240" w:lineRule="auto"/>
      </w:pPr>
      <w:r/>
      <w:hyperlink r:id="rId32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3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34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7" w:name="ref_R23"/>
      <w:pPr>
        <w:keepNext/>
        <w:spacing w:after="40" w:line="247" w:lineRule="auto"/>
      </w:pPr>
      <w:r>
        <w:rPr>
          <w:sz w:val="18"/>
        </w:rPr>
        <w:t>[7] CMM in Primary Care Research Team. The Patient Care Process for Delivering Comprehensive Medication Management (CMM): Optimizing Medication Use in Patient-Centered, Team-Based Care Settings. ACCP 公开专业实践文件；非算法实验论文, 2018.</w:t>
      </w:r>
      <w:bookmarkEnd w:id="7"/>
    </w:p>
    <w:p>
      <w:pPr>
        <w:keepNext/>
        <w:spacing w:after="40" w:line="247" w:lineRule="auto"/>
      </w:pPr>
      <w:r>
        <w:rPr>
          <w:sz w:val="18"/>
        </w:rPr>
        <w:t>PDF 7–8，药物评估与 IESA；适应证、有效性、安全性、依从性。专业实践文件，不是算法试验。</w:t>
      </w:r>
    </w:p>
    <w:p>
      <w:pPr>
        <w:spacing w:after="140" w:line="240" w:lineRule="auto"/>
      </w:pPr>
      <w:r/>
      <w:hyperlink r:id="rId35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6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37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8" w:name="ref_R36"/>
      <w:pPr>
        <w:keepNext/>
        <w:spacing w:after="40" w:line="247" w:lineRule="auto"/>
      </w:pPr>
      <w:r>
        <w:rPr>
          <w:sz w:val="18"/>
        </w:rPr>
        <w:t>[8] Nelson F. Liu, Kevin Lin et al.. Lost in the Middle: How Language Models Use Long Contexts. TACL 12:157–173, 2024.</w:t>
      </w:r>
      <w:bookmarkEnd w:id="8"/>
    </w:p>
    <w:p>
      <w:pPr>
        <w:keepNext/>
        <w:spacing w:after="40" w:line="247" w:lineRule="auto"/>
      </w:pPr>
      <w:r>
        <w:rPr>
          <w:sz w:val="18"/>
        </w:rPr>
        <w:t>PDF 6、8，§2.3、§4.2；支持长上下文的信息利用挑战，不直接证明 CUHK 系统已失败。</w:t>
      </w:r>
    </w:p>
    <w:p>
      <w:pPr>
        <w:spacing w:after="140" w:line="240" w:lineRule="auto"/>
      </w:pPr>
      <w:r/>
      <w:hyperlink r:id="rId38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39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0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9" w:name="ref_R07"/>
      <w:pPr>
        <w:keepNext/>
        <w:spacing w:after="40" w:line="247" w:lineRule="auto"/>
      </w:pPr>
      <w:r>
        <w:rPr>
          <w:sz w:val="18"/>
        </w:rPr>
        <w:t>[9] Xi Chen, Jie Mu et al.. Graph-Structured Rubrics: Compiling Rubrics into Typed Evaluation Graphs for LLM Judges. arXiv 预印本, 2026.</w:t>
      </w:r>
      <w:bookmarkEnd w:id="9"/>
    </w:p>
    <w:p>
      <w:pPr>
        <w:keepNext/>
        <w:spacing w:after="40" w:line="247" w:lineRule="auto"/>
      </w:pPr>
      <w:r>
        <w:rPr>
          <w:sz w:val="18"/>
        </w:rPr>
        <w:t>公开稿 PDF 3–5，Compile、Execute、Reduce/Gate；图准则编译已有先例。本条为预印本。</w:t>
      </w:r>
    </w:p>
    <w:p>
      <w:pPr>
        <w:spacing w:after="140" w:line="240" w:lineRule="auto"/>
      </w:pPr>
      <w:r/>
      <w:hyperlink r:id="rId4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2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3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0" w:name="ref_R24"/>
      <w:pPr>
        <w:keepNext/>
        <w:spacing w:after="40" w:line="247" w:lineRule="auto"/>
      </w:pPr>
      <w:r>
        <w:rPr>
          <w:sz w:val="18"/>
        </w:rPr>
        <w:t>[10] Zirong Chen, Ziyan An et al.. LogiDebrief: A Signal-Temporal Logic Based Automated Debriefing Approach with Large Language Models Integration. IJCAI:9582–9590, 2025.</w:t>
      </w:r>
      <w:bookmarkEnd w:id="10"/>
    </w:p>
    <w:p>
      <w:pPr>
        <w:keepNext/>
        <w:spacing w:after="40" w:line="247" w:lineRule="auto"/>
      </w:pPr>
      <w:r>
        <w:rPr>
          <w:sz w:val="18"/>
        </w:rPr>
        <w:t>PDF 3、5，方法及 Table 1；语义识别、时序和双方行为已有近邻，本研究需说明增量。</w:t>
      </w:r>
    </w:p>
    <w:p>
      <w:pPr>
        <w:spacing w:after="140" w:line="240" w:lineRule="auto"/>
      </w:pPr>
      <w:r/>
      <w:hyperlink r:id="rId44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5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6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pPr>
        <w:pStyle w:val="Heading1"/>
        <w:pageBreakBefore/>
      </w:pPr>
      <w:r>
        <w:t>参考文献与原文定位续</w:t>
      </w:r>
    </w:p>
    <w:p>
      <w:bookmarkStart w:id="11" w:name="ref_R17"/>
      <w:pPr>
        <w:keepNext/>
        <w:spacing w:after="40" w:line="247" w:lineRule="auto"/>
      </w:pPr>
      <w:r>
        <w:rPr>
          <w:sz w:val="18"/>
        </w:rPr>
        <w:t>[11] David A. Cook, Rose Hatala. Validation of educational assessments: a primer for simulation and beyond. Advances in Simulation 1:31, 2016.</w:t>
      </w:r>
      <w:bookmarkEnd w:id="11"/>
    </w:p>
    <w:p>
      <w:pPr>
        <w:keepNext/>
        <w:spacing w:after="40" w:line="247" w:lineRule="auto"/>
      </w:pPr>
      <w:r>
        <w:rPr>
          <w:sz w:val="18"/>
        </w:rPr>
        <w:t>PDF 4、6，Table 3–4；评价证据必须匹配用途，历史成绩不能直接证明新系统优于人工。</w:t>
      </w:r>
    </w:p>
    <w:p>
      <w:pPr>
        <w:spacing w:after="140" w:line="240" w:lineRule="auto"/>
      </w:pPr>
      <w:r/>
      <w:hyperlink r:id="rId47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48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49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2" w:name="ref_R29"/>
      <w:pPr>
        <w:keepNext/>
        <w:spacing w:after="40" w:line="247" w:lineRule="auto"/>
      </w:pPr>
      <w:r>
        <w:rPr>
          <w:sz w:val="18"/>
        </w:rPr>
        <w:t>[12] Patricia Marybelle Davies, Rebecca Jane Passonneau et al.. Analytical Techniques for Developing Argumentative Writing in STEM: A Pilot Study. IEEE Transactions on Education 65(3):373–383, 2022.</w:t>
      </w:r>
      <w:bookmarkEnd w:id="12"/>
    </w:p>
    <w:p>
      <w:pPr>
        <w:keepNext/>
        <w:spacing w:after="40" w:line="247" w:lineRule="auto"/>
      </w:pPr>
      <w:r>
        <w:rPr>
          <w:sz w:val="18"/>
        </w:rPr>
        <w:t>PDF 5、7，人工参考与 Table IV；借鉴独立专家参考，不照搬作文任务指标。</w:t>
      </w:r>
    </w:p>
    <w:p>
      <w:pPr>
        <w:spacing w:after="140" w:line="240" w:lineRule="auto"/>
      </w:pPr>
      <w:r/>
      <w:hyperlink r:id="rId50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1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2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3" w:name="ref_R27"/>
      <w:pPr>
        <w:keepNext/>
        <w:spacing w:after="40" w:line="247" w:lineRule="auto"/>
      </w:pPr>
      <w:r>
        <w:rPr>
          <w:sz w:val="18"/>
        </w:rPr>
        <w:t>[13] Hasan Abu-Rasheed, Christian Weber et al.. Knowledge Graphs as Context Sources for LLM-Based Explanations of Learning Recommendations. IEEE EDUCON, 2024.</w:t>
      </w:r>
      <w:bookmarkEnd w:id="13"/>
    </w:p>
    <w:p>
      <w:pPr>
        <w:keepNext/>
        <w:spacing w:after="40" w:line="247" w:lineRule="auto"/>
      </w:pPr>
      <w:r>
        <w:rPr>
          <w:sz w:val="18"/>
        </w:rPr>
        <w:t>作者稿 PDF 4，§4.1–4.3；同任务比较有无图谱上下文，技术结果与用户反馈分开。</w:t>
      </w:r>
    </w:p>
    <w:p>
      <w:pPr>
        <w:spacing w:after="140" w:line="240" w:lineRule="auto"/>
      </w:pPr>
      <w:r/>
      <w:hyperlink r:id="rId53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4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5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4" w:name="ref_R30"/>
      <w:pPr>
        <w:keepNext/>
        <w:spacing w:after="40" w:line="247" w:lineRule="auto"/>
      </w:pPr>
      <w:r>
        <w:rPr>
          <w:sz w:val="18"/>
        </w:rPr>
        <w:t>[14] Xueqiao Zhang, Chao Zhang et al.. EduPlanner: LLM-Based Multiagent Systems for Customized and Intelligent Instructional Design. IEEE Transactions on Learning Technologies 18:416–427, 2025.</w:t>
      </w:r>
      <w:bookmarkEnd w:id="14"/>
    </w:p>
    <w:p>
      <w:pPr>
        <w:keepNext/>
        <w:spacing w:after="40" w:line="247" w:lineRule="auto"/>
      </w:pPr>
      <w:r>
        <w:rPr>
          <w:sz w:val="18"/>
        </w:rPr>
        <w:t>作者稿 PDF 8、10，Table II；借鉴组件对照消融，不把教学设计质量当学生学习增益。</w:t>
      </w:r>
    </w:p>
    <w:p>
      <w:pPr>
        <w:spacing w:after="140" w:line="240" w:lineRule="auto"/>
      </w:pPr>
      <w:r/>
      <w:hyperlink r:id="rId56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57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58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5" w:name="ref_R18"/>
      <w:pPr>
        <w:keepNext/>
        <w:spacing w:after="40" w:line="247" w:lineRule="auto"/>
      </w:pPr>
      <w:r>
        <w:rPr>
          <w:sz w:val="18"/>
        </w:rPr>
        <w:t>[15] Daniël Lakens. Sample Size Justification. Collabra Psychology 8(1):33267, 2022.</w:t>
      </w:r>
      <w:bookmarkEnd w:id="15"/>
    </w:p>
    <w:p>
      <w:pPr>
        <w:keepNext/>
        <w:spacing w:after="40" w:line="247" w:lineRule="auto"/>
      </w:pPr>
      <w:r>
        <w:rPr>
          <w:sz w:val="18"/>
        </w:rPr>
        <w:t>作者稿 PDF 4、8；资源、精度与样本量论证。没有通用的 16 人最低样本标准。</w:t>
      </w:r>
    </w:p>
    <w:p>
      <w:pPr>
        <w:spacing w:after="140" w:line="240" w:lineRule="auto"/>
      </w:pPr>
      <w:r/>
      <w:hyperlink r:id="rId59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0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1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6" w:name="ref_R33"/>
      <w:pPr>
        <w:keepNext/>
        <w:spacing w:after="40" w:line="247" w:lineRule="auto"/>
      </w:pPr>
      <w:r>
        <w:rPr>
          <w:sz w:val="18"/>
        </w:rPr>
        <w:t>[16] Eyman Alyahyan, Mireilla Bikanga Ada et al.. Adoption, Usage, and Perceptions of LLM-Generated Feedback in Computer Science Education: A Cross-Cultural Study of Students and Academics. IEEE FIE, 2025.</w:t>
      </w:r>
      <w:bookmarkEnd w:id="16"/>
    </w:p>
    <w:p>
      <w:pPr>
        <w:keepNext/>
        <w:spacing w:after="40" w:line="247" w:lineRule="auto"/>
      </w:pPr>
      <w:r>
        <w:rPr>
          <w:sz w:val="18"/>
        </w:rPr>
        <w:t>接受稿 PDF 3，§IV；问卷试测、学生与教师意见分开，不以满意度证明算法准确。</w:t>
      </w:r>
    </w:p>
    <w:p>
      <w:pPr>
        <w:spacing w:after="140" w:line="240" w:lineRule="auto"/>
      </w:pPr>
      <w:r/>
      <w:hyperlink r:id="rId62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3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4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7" w:name="ref_R26"/>
      <w:pPr>
        <w:keepNext/>
        <w:spacing w:after="40" w:line="247" w:lineRule="auto"/>
      </w:pPr>
      <w:r>
        <w:rPr>
          <w:sz w:val="18"/>
        </w:rPr>
        <w:t>[17] Barbara Oakley, Cynthia J. Finelli. Guest Editorial: A Practical Approach to Understanding—and Applying!—the Scholarship of Application. IEEE Transactions on Education 57(2):69–74, 2014.</w:t>
      </w:r>
      <w:bookmarkEnd w:id="17"/>
    </w:p>
    <w:p>
      <w:pPr>
        <w:keepNext/>
        <w:spacing w:after="40" w:line="247" w:lineRule="auto"/>
      </w:pPr>
      <w:r>
        <w:rPr>
          <w:sz w:val="18"/>
        </w:rPr>
        <w:t>PDF 2、4–5；教育研究主张须与证据对应。IEEE ToE 方法指导，不是统一强制实验标准。</w:t>
      </w:r>
    </w:p>
    <w:p>
      <w:pPr>
        <w:spacing w:after="140" w:line="240" w:lineRule="auto"/>
      </w:pPr>
      <w:r/>
      <w:hyperlink r:id="rId65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6">
        <w:r>
          <w:rPr>
            <w:color w:val="184E7B"/>
            <w:u w:val="single"/>
            <w:sz w:val="18"/>
            <w:rFonts w:ascii="Times New Roman" w:hAnsi="Times New Roman" w:eastAsia="宋体"/>
          </w:rPr>
          <w:t>本地全文</w:t>
        </w:r>
      </w:hyperlink>
      <w:r>
        <w:t xml:space="preserve">　</w:t>
      </w:r>
      <w:hyperlink r:id="rId67">
        <w:r>
          <w:rPr>
            <w:color w:val="184E7B"/>
            <w:u w:val="single"/>
            <w:sz w:val="18"/>
            <w:rFonts w:ascii="Times New Roman" w:hAnsi="Times New Roman" w:eastAsia="宋体"/>
          </w:rPr>
          <w:t>原文定位与阅读说明</w:t>
        </w:r>
      </w:hyperlink>
    </w:p>
    <w:p>
      <w:bookmarkStart w:id="18" w:name="ref_STATCI"/>
      <w:pPr>
        <w:keepNext/>
        <w:spacing w:after="40" w:line="247" w:lineRule="auto"/>
      </w:pPr>
      <w:r>
        <w:rPr>
          <w:sz w:val="18"/>
        </w:rPr>
        <w:t>[18] L. D. Brown, T. T. Cai et al.. Interval Estimation for a Binomial Proportion. Statistical Science 16(2):101–133, 2001.</w:t>
      </w:r>
      <w:bookmarkEnd w:id="18"/>
    </w:p>
    <w:p>
      <w:pPr>
        <w:keepNext/>
        <w:spacing w:after="40" w:line="247" w:lineRule="auto"/>
      </w:pPr>
      <w:r>
        <w:rPr>
          <w:sz w:val="18"/>
        </w:rPr>
        <w:t>§2；支持 Wilson 区间和小样本精度说明，不解决同一学生重复观测的相关性。</w:t>
      </w:r>
    </w:p>
    <w:p>
      <w:pPr>
        <w:spacing w:after="140" w:line="240" w:lineRule="auto"/>
      </w:pPr>
      <w:r/>
      <w:hyperlink r:id="rId68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  <w:r>
        <w:t xml:space="preserve">　</w:t>
      </w:r>
      <w:hyperlink r:id="rId69">
        <w:r>
          <w:rPr>
            <w:color w:val="184E7B"/>
            <w:u w:val="single"/>
            <w:sz w:val="18"/>
            <w:rFonts w:ascii="Times New Roman" w:hAnsi="Times New Roman" w:eastAsia="宋体"/>
          </w:rPr>
          <w:t>作者公开稿</w:t>
        </w:r>
      </w:hyperlink>
    </w:p>
    <w:p>
      <w:bookmarkStart w:id="19" w:name="ref_STATMC"/>
      <w:pPr>
        <w:keepNext/>
        <w:spacing w:after="40" w:line="247" w:lineRule="auto"/>
      </w:pPr>
      <w:r>
        <w:rPr>
          <w:sz w:val="18"/>
        </w:rPr>
        <w:t>[19] M. W. Fagerland, S. Lydersen et al.. The McNemar test for binary matched-pairs data: mid-p and asymptotic are better than exact conditional. BMC Medical Research Methodology 13:91, 2013.</w:t>
      </w:r>
      <w:bookmarkEnd w:id="19"/>
    </w:p>
    <w:p>
      <w:pPr>
        <w:keepNext/>
        <w:spacing w:after="40" w:line="247" w:lineRule="auto"/>
      </w:pPr>
      <w:r>
        <w:rPr>
          <w:sz w:val="18"/>
        </w:rPr>
        <w:t>Methods、Discussion；适用于独立二元配对，不能把同一学生多项判断视为独立配对。</w:t>
      </w:r>
    </w:p>
    <w:p>
      <w:pPr>
        <w:spacing w:after="140" w:line="240" w:lineRule="auto"/>
      </w:pPr>
      <w:r/>
      <w:hyperlink r:id="rId70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p>
      <w:bookmarkStart w:id="20" w:name="ref_IEEE"/>
      <w:pPr>
        <w:keepNext/>
        <w:spacing w:after="40" w:line="247" w:lineRule="auto"/>
      </w:pPr>
      <w:r>
        <w:rPr>
          <w:sz w:val="18"/>
        </w:rPr>
        <w:t>[20] IEEE Author Center. Submission and Peer Review Policies. 投稿与内容重复使用政策, 访问日期 2026年10月3日.</w:t>
      </w:r>
      <w:bookmarkEnd w:id="20"/>
    </w:p>
    <w:p>
      <w:pPr>
        <w:keepNext/>
        <w:spacing w:after="40" w:line="247" w:lineRule="auto"/>
      </w:pPr>
      <w:r>
        <w:rPr>
          <w:sz w:val="18"/>
        </w:rPr>
        <w:t>Submission、Recycling Content；共享数据的相关稿件须有实质新增内容并透明说明。</w:t>
      </w:r>
    </w:p>
    <w:p>
      <w:pPr>
        <w:spacing w:after="140" w:line="240" w:lineRule="auto"/>
      </w:pPr>
      <w:r/>
      <w:hyperlink r:id="rId71">
        <w:r>
          <w:rPr>
            <w:color w:val="184E7B"/>
            <w:u w:val="single"/>
            <w:sz w:val="18"/>
            <w:rFonts w:ascii="Times New Roman" w:hAnsi="Times New Roman" w:eastAsia="宋体"/>
          </w:rPr>
          <w:t>原论文或官方来源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7"/>
      </w:rPr>
      <w:t>CUHK 药学 AI OSCE 论文与试用安排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cstheme="majorBidi" w:ascii="Times New Roman" w:hAnsi="Times New Roman" w:eastAsia="微软雅黑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cstheme="majorBidi" w:ascii="Times New Roman" w:hAnsi="Times New Roman" w:eastAsia="微软雅黑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cstheme="majorBidi" w:ascii="Times New Roman" w:hAnsi="Times New Roman" w:eastAsia="微软雅黑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cstheme="majorBidi" w:ascii="Times New Roman" w:hAnsi="Times New Roman" w:eastAsia="微软雅黑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E:/che/apricot/hoper/CUHK_EDUCON2027_%E8%AE%BA%E6%96%87%E7%A0%94%E7%A9%B6_20260927/Evidence_Graph_Judge_%E8%AE%BA%E6%96%87%E6%96%B9%E6%A1%88_20260930/context-analysis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file:///E:/che/apricot/hoper/CUHK%E9%A1%B9%E7%9B%AE/OneDrive_2026-09-09/Sample%20cases%20Apricot/Drug%20Info%20Case%201%20Fungal%20Toe/DI_Case%201_toe_assessment%20checklist.docx" TargetMode="External"/><Relationship Id="rId15" Type="http://schemas.openxmlformats.org/officeDocument/2006/relationships/hyperlink" Target="file:///E:/che/apricot/hoper/CUHK%E9%A1%B9%E7%9B%AE/OneDrive_2026-09-09/Sample%20cases%20Apricot/Drug%20Info%20Case%202%20Migrane/DI_Case%202_migrane_assessment%20checklist.docx" TargetMode="External"/><Relationship Id="rId16" Type="http://schemas.openxmlformats.org/officeDocument/2006/relationships/hyperlink" Target="file:///E:/che/apricot/hoper/CUHK%E9%A1%B9%E7%9B%AE/OneDrive_2026-09-09/Sample%20cases%20Apricot/Patient%20Drug%20Counselling%20Case%201%20Diruetics/Patient_drug_counselling_Case%201_Diuretics_assessment%20form.docx" TargetMode="External"/><Relationship Id="rId17" Type="http://schemas.openxmlformats.org/officeDocument/2006/relationships/hyperlink" Target="file:///E:/che/apricot/hoper/CUHK%E9%A1%B9%E7%9B%AE/OneDrive_2026-09-09/Sample%20cases%20Apricot/Patient%20Drug%20Counselling%20Case%202%20MTX/Patient_drug_counselling_Case%202_MTX_assessment%20form.docx" TargetMode="External"/><Relationship Id="rId18" Type="http://schemas.openxmlformats.org/officeDocument/2006/relationships/hyperlink" Target="file:///E:/che/apricot/hoper/CUHK%E9%A1%B9%E7%9B%AE/CUHK_Pharmacy_Four_Case_Interpretation_and_Faculty_Confirmations_20260902_YT.pdf#page=13" TargetMode="External"/><Relationship Id="rId19" Type="http://schemas.openxmlformats.org/officeDocument/2006/relationships/hyperlink" Target="https://doi.org/10.5688/aj7408148" TargetMode="External"/><Relationship Id="rId20" Type="http://schemas.openxmlformats.org/officeDocument/2006/relationships/hyperlink" Target="https://pmc.ncbi.nlm.nih.gov/articles/PMC2987288/" TargetMode="External"/><Relationship Id="rId21" Type="http://schemas.openxmlformats.org/officeDocument/2006/relationships/hyperlink" Target="https://doi.org/10.1186/s41077-017-0043-4" TargetMode="External"/><Relationship Id="rId22" Type="http://schemas.openxmlformats.org/officeDocument/2006/relationships/hyperlink" Target="file:///E:/che/apricot/hoper/CUHK_EDUCON2027_%E8%AE%BA%E6%96%87%E7%A0%94%E7%A9%B6_20260927/Evidence_Graph_Judge_%E8%AE%BA%E6%96%87%E6%96%B9%E6%A1%88_20260930/pdf/original/R01.pdf" TargetMode="External"/><Relationship Id="rId23" Type="http://schemas.openxmlformats.org/officeDocument/2006/relationships/hyperlink" Target="file:///E:/che/apricot/hoper/CUHK_EDUCON2027_%E8%AE%BA%E6%96%87%E7%A0%94%E7%A9%B6_20260927/Evidence_Graph_Judge_%E8%AE%BA%E6%96%87%E6%96%B9%E6%A1%88_20260930/papers/R01.html#evidence-e1" TargetMode="External"/><Relationship Id="rId24" Type="http://schemas.openxmlformats.org/officeDocument/2006/relationships/hyperlink" Target="https://doi.org/10.1016/j.cptl.2025.102503" TargetMode="External"/><Relationship Id="rId25" Type="http://schemas.openxmlformats.org/officeDocument/2006/relationships/hyperlink" Target="file:///E:/che/apricot/hoper/CUHK_EDUCON2027_%E8%AE%BA%E6%96%87%E7%A0%94%E7%A9%B6_20260927/Evidence_Graph_Judge_%E8%AE%BA%E6%96%87%E6%96%B9%E6%A1%88_20260930/pdf/original/R03.pdf" TargetMode="External"/><Relationship Id="rId26" Type="http://schemas.openxmlformats.org/officeDocument/2006/relationships/hyperlink" Target="file:///E:/che/apricot/hoper/CUHK_EDUCON2027_%E8%AE%BA%E6%96%87%E7%A0%94%E7%A9%B6_20260927/Evidence_Graph_Judge_%E8%AE%BA%E6%96%87%E6%96%B9%E6%A1%88_20260930/papers/R03.html#evidence-e1" TargetMode="External"/><Relationship Id="rId27" Type="http://schemas.openxmlformats.org/officeDocument/2006/relationships/hyperlink" Target="https://doi.org/10.1145/3785022.3785092" TargetMode="External"/><Relationship Id="rId28" Type="http://schemas.openxmlformats.org/officeDocument/2006/relationships/hyperlink" Target="file:///E:/che/apricot/hoper/CUHK_EDUCON2027_%E8%AE%BA%E6%96%87%E7%A0%94%E7%A9%B6_20260927/Evidence_Graph_Judge_%E8%AE%BA%E6%96%87%E6%96%B9%E6%A1%88_20260930/pdf/original/R34.pdf" TargetMode="External"/><Relationship Id="rId29" Type="http://schemas.openxmlformats.org/officeDocument/2006/relationships/hyperlink" Target="file:///E:/che/apricot/hoper/CUHK_EDUCON2027_%E8%AE%BA%E6%96%87%E7%A0%94%E7%A9%B6_20260927/Evidence_Graph_Judge_%E8%AE%BA%E6%96%87%E6%96%B9%E6%A1%88_20260930/papers/R34.html#evidence-e1" TargetMode="External"/><Relationship Id="rId30" Type="http://schemas.openxmlformats.org/officeDocument/2006/relationships/hyperlink" Target="https://doi.org/10.1016/j.ajpe.2025.101455" TargetMode="External"/><Relationship Id="rId31" Type="http://schemas.openxmlformats.org/officeDocument/2006/relationships/hyperlink" Target="https://pubmed.ncbi.nlm.nih.gov/40614901/" TargetMode="External"/><Relationship Id="rId32" Type="http://schemas.openxmlformats.org/officeDocument/2006/relationships/hyperlink" Target="https://aclanthology.org/2026.lrec-1.831/" TargetMode="External"/><Relationship Id="rId33" Type="http://schemas.openxmlformats.org/officeDocument/2006/relationships/hyperlink" Target="file:///E:/che/apricot/hoper/CUHK_EDUCON2027_%E8%AE%BA%E6%96%87%E7%A0%94%E7%A9%B6_20260927/Evidence_Graph_Judge_%E8%AE%BA%E6%96%87%E6%96%B9%E6%A1%88_20260930/pdf/original/R14.pdf" TargetMode="External"/><Relationship Id="rId34" Type="http://schemas.openxmlformats.org/officeDocument/2006/relationships/hyperlink" Target="file:///E:/che/apricot/hoper/CUHK_EDUCON2027_%E8%AE%BA%E6%96%87%E7%A0%94%E7%A9%B6_20260927/Evidence_Graph_Judge_%E8%AE%BA%E6%96%87%E6%96%B9%E6%A1%88_20260930/papers/R14.html#evidence-e1" TargetMode="External"/><Relationship Id="rId35" Type="http://schemas.openxmlformats.org/officeDocument/2006/relationships/hyperlink" Target="https://www.accp.com/cmm_care_process" TargetMode="External"/><Relationship Id="rId36" Type="http://schemas.openxmlformats.org/officeDocument/2006/relationships/hyperlink" Target="file:///E:/che/apricot/hoper/CUHK_EDUCON2027_%E8%AE%BA%E6%96%87%E7%A0%94%E7%A9%B6_20260927/Evidence_Graph_Judge_%E8%AE%BA%E6%96%87%E6%96%B9%E6%A1%88_20260930/pdf/original/R23.pdf" TargetMode="External"/><Relationship Id="rId37" Type="http://schemas.openxmlformats.org/officeDocument/2006/relationships/hyperlink" Target="file:///E:/che/apricot/hoper/CUHK_EDUCON2027_%E8%AE%BA%E6%96%87%E7%A0%94%E7%A9%B6_20260927/Evidence_Graph_Judge_%E8%AE%BA%E6%96%87%E6%96%B9%E6%A1%88_20260930/papers/R23.html#evidence-e1" TargetMode="External"/><Relationship Id="rId38" Type="http://schemas.openxmlformats.org/officeDocument/2006/relationships/hyperlink" Target="https://aclanthology.org/2024.tacl-1.9/" TargetMode="External"/><Relationship Id="rId39" Type="http://schemas.openxmlformats.org/officeDocument/2006/relationships/hyperlink" Target="file:///E:/che/apricot/hoper/CUHK_EDUCON2027_%E8%AE%BA%E6%96%87%E7%A0%94%E7%A9%B6_20260927/Evidence_Graph_Judge_%E8%AE%BA%E6%96%87%E6%96%B9%E6%A1%88_20260930/pdf/original/R36.pdf" TargetMode="External"/><Relationship Id="rId40" Type="http://schemas.openxmlformats.org/officeDocument/2006/relationships/hyperlink" Target="file:///E:/che/apricot/hoper/CUHK_EDUCON2027_%E8%AE%BA%E6%96%87%E7%A0%94%E7%A9%B6_20260927/Evidence_Graph_Judge_%E8%AE%BA%E6%96%87%E6%96%B9%E6%A1%88_20260930/papers/R36.html#evidence-e1" TargetMode="External"/><Relationship Id="rId41" Type="http://schemas.openxmlformats.org/officeDocument/2006/relationships/hyperlink" Target="https://arxiv.org/abs/2608.12097" TargetMode="External"/><Relationship Id="rId42" Type="http://schemas.openxmlformats.org/officeDocument/2006/relationships/hyperlink" Target="file:///E:/che/apricot/hoper/CUHK_EDUCON2027_%E8%AE%BA%E6%96%87%E7%A0%94%E7%A9%B6_20260927/Evidence_Graph_Judge_%E8%AE%BA%E6%96%87%E6%96%B9%E6%A1%88_20260930/pdf/original/R07.pdf" TargetMode="External"/><Relationship Id="rId43" Type="http://schemas.openxmlformats.org/officeDocument/2006/relationships/hyperlink" Target="file:///E:/che/apricot/hoper/CUHK_EDUCON2027_%E8%AE%BA%E6%96%87%E7%A0%94%E7%A9%B6_20260927/Evidence_Graph_Judge_%E8%AE%BA%E6%96%87%E6%96%B9%E6%A1%88_20260930/papers/R07.html#evidence-e1" TargetMode="External"/><Relationship Id="rId44" Type="http://schemas.openxmlformats.org/officeDocument/2006/relationships/hyperlink" Target="https://www.ijcai.org/proceedings/2025/1065" TargetMode="External"/><Relationship Id="rId45" Type="http://schemas.openxmlformats.org/officeDocument/2006/relationships/hyperlink" Target="file:///E:/che/apricot/hoper/CUHK_EDUCON2027_%E8%AE%BA%E6%96%87%E7%A0%94%E7%A9%B6_20260927/Evidence_Graph_Judge_%E8%AE%BA%E6%96%87%E6%96%B9%E6%A1%88_20260930/pdf/original/R24.pdf" TargetMode="External"/><Relationship Id="rId46" Type="http://schemas.openxmlformats.org/officeDocument/2006/relationships/hyperlink" Target="file:///E:/che/apricot/hoper/CUHK_EDUCON2027_%E8%AE%BA%E6%96%87%E7%A0%94%E7%A9%B6_20260927/Evidence_Graph_Judge_%E8%AE%BA%E6%96%87%E6%96%B9%E6%A1%88_20260930/papers/R24.html#evidence-e1" TargetMode="External"/><Relationship Id="rId47" Type="http://schemas.openxmlformats.org/officeDocument/2006/relationships/hyperlink" Target="https://doi.org/10.1186/s41077-016-0033-y" TargetMode="External"/><Relationship Id="rId48" Type="http://schemas.openxmlformats.org/officeDocument/2006/relationships/hyperlink" Target="file:///E:/che/apricot/hoper/CUHK_EDUCON2027_%E8%AE%BA%E6%96%87%E7%A0%94%E7%A9%B6_20260927/Evidence_Graph_Judge_%E8%AE%BA%E6%96%87%E6%96%B9%E6%A1%88_20260930/pdf/original/R17.pdf" TargetMode="External"/><Relationship Id="rId49" Type="http://schemas.openxmlformats.org/officeDocument/2006/relationships/hyperlink" Target="file:///E:/che/apricot/hoper/CUHK_EDUCON2027_%E8%AE%BA%E6%96%87%E7%A0%94%E7%A9%B6_20260927/Evidence_Graph_Judge_%E8%AE%BA%E6%96%87%E6%96%B9%E6%A1%88_20260930/papers/R17.html#evidence-e1" TargetMode="External"/><Relationship Id="rId50" Type="http://schemas.openxmlformats.org/officeDocument/2006/relationships/hyperlink" Target="https://doi.org/10.1109/TE.2021.3116202" TargetMode="External"/><Relationship Id="rId51" Type="http://schemas.openxmlformats.org/officeDocument/2006/relationships/hyperlink" Target="file:///E:/che/apricot/hoper/CUHK_EDUCON2027_%E8%AE%BA%E6%96%87%E7%A0%94%E7%A9%B6_20260927/Evidence_Graph_Judge_%E8%AE%BA%E6%96%87%E6%96%B9%E6%A1%88_20260930/pdf/original/R29.pdf" TargetMode="External"/><Relationship Id="rId52" Type="http://schemas.openxmlformats.org/officeDocument/2006/relationships/hyperlink" Target="file:///E:/che/apricot/hoper/CUHK_EDUCON2027_%E8%AE%BA%E6%96%87%E7%A0%94%E7%A9%B6_20260927/Evidence_Graph_Judge_%E8%AE%BA%E6%96%87%E6%96%B9%E6%A1%88_20260930/papers/R29.html#evidence-e1" TargetMode="External"/><Relationship Id="rId53" Type="http://schemas.openxmlformats.org/officeDocument/2006/relationships/hyperlink" Target="https://doi.org/10.1109/EDUCON60312.2024.10578654" TargetMode="External"/><Relationship Id="rId54" Type="http://schemas.openxmlformats.org/officeDocument/2006/relationships/hyperlink" Target="file:///E:/che/apricot/hoper/CUHK_EDUCON2027_%E8%AE%BA%E6%96%87%E7%A0%94%E7%A9%B6_20260927/Evidence_Graph_Judge_%E8%AE%BA%E6%96%87%E6%96%B9%E6%A1%88_20260930/pdf/original/R27.pdf" TargetMode="External"/><Relationship Id="rId55" Type="http://schemas.openxmlformats.org/officeDocument/2006/relationships/hyperlink" Target="file:///E:/che/apricot/hoper/CUHK_EDUCON2027_%E8%AE%BA%E6%96%87%E7%A0%94%E7%A9%B6_20260927/Evidence_Graph_Judge_%E8%AE%BA%E6%96%87%E6%96%B9%E6%A1%88_20260930/papers/R27.html#evidence-e1" TargetMode="External"/><Relationship Id="rId56" Type="http://schemas.openxmlformats.org/officeDocument/2006/relationships/hyperlink" Target="https://doi.org/10.1109/TLT.2025.3561332" TargetMode="External"/><Relationship Id="rId57" Type="http://schemas.openxmlformats.org/officeDocument/2006/relationships/hyperlink" Target="file:///E:/che/apricot/hoper/CUHK_EDUCON2027_%E8%AE%BA%E6%96%87%E7%A0%94%E7%A9%B6_20260927/Evidence_Graph_Judge_%E8%AE%BA%E6%96%87%E6%96%B9%E6%A1%88_20260930/pdf/original/R30.pdf" TargetMode="External"/><Relationship Id="rId58" Type="http://schemas.openxmlformats.org/officeDocument/2006/relationships/hyperlink" Target="file:///E:/che/apricot/hoper/CUHK_EDUCON2027_%E8%AE%BA%E6%96%87%E7%A0%94%E7%A9%B6_20260927/Evidence_Graph_Judge_%E8%AE%BA%E6%96%87%E6%96%B9%E6%A1%88_20260930/papers/R30.html#evidence-e1" TargetMode="External"/><Relationship Id="rId59" Type="http://schemas.openxmlformats.org/officeDocument/2006/relationships/hyperlink" Target="https://doi.org/10.1525/collabra.33267" TargetMode="External"/><Relationship Id="rId60" Type="http://schemas.openxmlformats.org/officeDocument/2006/relationships/hyperlink" Target="file:///E:/che/apricot/hoper/CUHK_EDUCON2027_%E8%AE%BA%E6%96%87%E7%A0%94%E7%A9%B6_20260927/Evidence_Graph_Judge_%E8%AE%BA%E6%96%87%E6%96%B9%E6%A1%88_20260930/pdf/original/R18.pdf" TargetMode="External"/><Relationship Id="rId61" Type="http://schemas.openxmlformats.org/officeDocument/2006/relationships/hyperlink" Target="file:///E:/che/apricot/hoper/CUHK_EDUCON2027_%E8%AE%BA%E6%96%87%E7%A0%94%E7%A9%B6_20260927/Evidence_Graph_Judge_%E8%AE%BA%E6%96%87%E6%96%B9%E6%A1%88_20260930/papers/R18.html#evidence-e1" TargetMode="External"/><Relationship Id="rId62" Type="http://schemas.openxmlformats.org/officeDocument/2006/relationships/hyperlink" Target="https://doi.org/10.1109/FIE63693.2025.11328530" TargetMode="External"/><Relationship Id="rId63" Type="http://schemas.openxmlformats.org/officeDocument/2006/relationships/hyperlink" Target="file:///E:/che/apricot/hoper/CUHK_EDUCON2027_%E8%AE%BA%E6%96%87%E7%A0%94%E7%A9%B6_20260927/Evidence_Graph_Judge_%E8%AE%BA%E6%96%87%E6%96%B9%E6%A1%88_20260930/pdf/original/R33.pdf" TargetMode="External"/><Relationship Id="rId64" Type="http://schemas.openxmlformats.org/officeDocument/2006/relationships/hyperlink" Target="file:///E:/che/apricot/hoper/CUHK_EDUCON2027_%E8%AE%BA%E6%96%87%E7%A0%94%E7%A9%B6_20260927/Evidence_Graph_Judge_%E8%AE%BA%E6%96%87%E6%96%B9%E6%A1%88_20260930/papers/R33.html#evidence-e1" TargetMode="External"/><Relationship Id="rId65" Type="http://schemas.openxmlformats.org/officeDocument/2006/relationships/hyperlink" Target="https://doi.org/10.1109/TE.2014.2313036" TargetMode="External"/><Relationship Id="rId66" Type="http://schemas.openxmlformats.org/officeDocument/2006/relationships/hyperlink" Target="file:///E:/che/apricot/hoper/CUHK_EDUCON2027_%E8%AE%BA%E6%96%87%E7%A0%94%E7%A9%B6_20260927/Evidence_Graph_Judge_%E8%AE%BA%E6%96%87%E6%96%B9%E6%A1%88_20260930/pdf/original/R26.pdf" TargetMode="External"/><Relationship Id="rId67" Type="http://schemas.openxmlformats.org/officeDocument/2006/relationships/hyperlink" Target="file:///E:/che/apricot/hoper/CUHK_EDUCON2027_%E8%AE%BA%E6%96%87%E7%A0%94%E7%A9%B6_20260927/Evidence_Graph_Judge_%E8%AE%BA%E6%96%87%E6%96%B9%E6%A1%88_20260930/papers/R26.html#evidence-e1" TargetMode="External"/><Relationship Id="rId68" Type="http://schemas.openxmlformats.org/officeDocument/2006/relationships/hyperlink" Target="https://doi.org/10.1214/ss/1009213286" TargetMode="External"/><Relationship Id="rId69" Type="http://schemas.openxmlformats.org/officeDocument/2006/relationships/hyperlink" Target="https://www.stat.purdue.edu/~dasgupta/publications/tr99-19.pdf" TargetMode="External"/><Relationship Id="rId70" Type="http://schemas.openxmlformats.org/officeDocument/2006/relationships/hyperlink" Target="https://doi.org/10.1186/1471-2288-13-91" TargetMode="External"/><Relationship Id="rId71" Type="http://schemas.openxmlformats.org/officeDocument/2006/relationships/hyperlink" Target="https://journals.ieeeauthorcenter.ieee.org/become-an-ieee-journal-author/publishing-ethics/guidelines-and-policies/submission-and-peer-review-polic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Evidence-Graph Judge 面向药学 OSCE 统一角色控制与表现评价</dc:title>
  <dc:subject>供CUHK YT张教授讨论的论文思路与2026年10月7日实验安排</dc:subject>
  <dc:creator>CUHK Pharmacy OSCE Research</dc:creator>
  <cp:keywords>Evidence-Graph Judge, OSCE, faculty, study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