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76" w:lineRule="auto" w:after="120"/>
      </w:pPr>
      <w:r>
        <w:rPr>
          <w:rFonts w:ascii="Arial" w:hAnsi="Arial" w:eastAsia="Arial" w:cs="Arial"/>
          <w:sz w:val="24"/>
          <w:szCs w:val="24"/>
        </w:rPr>
        <w:t>Evidence-Graph Judge: A Rule–Evidence Graph Framework for Unified Role Control and Performance Assessment in Pharmacy OSCEs</w:t>
      </w:r>
    </w:p>
    <w:p>
      <w:pPr>
        <w:spacing w:after="120" w:line="276" w:lineRule="auto"/>
        <w:jc w:val="left"/>
      </w:pPr>
      <w:r>
        <w:rPr>
          <w:sz w:val="24"/>
          <w:rFonts w:ascii="Arial" w:hAnsi="Arial" w:eastAsia="Arial" w:cs="Arial"/>
          <w:szCs w:val="24"/>
        </w:rPr>
        <w:t>CUHK AI Pharmacy OSCE: Research Proposal and Study Arrangements for 7 October</w:t>
      </w:r>
    </w:p>
    <w:p>
      <w:pPr>
        <w:spacing w:after="120" w:line="276" w:lineRule="auto"/>
        <w:jc w:val="left"/>
      </w:pPr>
      <w:r>
        <w:rPr>
          <w:sz w:val="24"/>
          <w:rFonts w:ascii="Arial" w:hAnsi="Arial" w:eastAsia="Arial" w:cs="Arial"/>
          <w:szCs w:val="24"/>
        </w:rPr>
        <w:t>For discussion with Professor YT Zhang    4 October 2026</w:t>
      </w:r>
    </w:p>
    <w:p>
      <w:pPr>
        <w:pStyle w:val="Heading2"/>
        <w:spacing w:line="276" w:lineRule="auto" w:after="120"/>
      </w:pPr>
      <w:r>
        <w:rPr>
          <w:rFonts w:ascii="Arial" w:hAnsi="Arial" w:eastAsia="Arial" w:cs="Arial"/>
          <w:sz w:val="24"/>
          <w:szCs w:val="24"/>
        </w:rPr>
        <w:t>Abstract</w:t>
      </w:r>
    </w:p>
    <w:p>
      <w:pPr>
        <w:spacing w:line="276" w:lineRule="auto" w:after="120"/>
      </w:pPr>
      <w:r>
        <w:rPr>
          <w:rFonts w:ascii="Arial" w:hAnsi="Arial" w:eastAsia="Arial" w:cs="Arial"/>
          <w:sz w:val="24"/>
          <w:szCs w:val="24"/>
        </w:rPr>
        <w:t>We have developed an AI system for pharmacy objective structured clinical examinations (OSCEs) using the materials supplied by CUHK for four stations. The study will first assess whether the system can conduct consultations in the assigned doctor or patient role and assess student performance reliably under the School's existing requirements. We then introduce Evidence-Graph Judge (EGJ), which compiles role permissions and assessment requirements into a rule graph and records actual utterances, prompts and corrections in a dialogue evidence graph. Role control and performance assessment therefore use the same record of the interaction. We propose a study on 7 October, from 09:30 to 13:30, with 16 students. Each student will complete two different stations, using each AI method once, with no more than two students participating simultaneously. After the activity, faculty will independently review the records against the School's requirements. We will then compare role compliance and agreement in assessment decisions between the two methods. This proposal includes fillable faculty forms, a student questionnaire and the procedure for calculating the outcomes. The findings will provide pilot evidence for formative practice across these four stations; whether the system meets the requirements and whether EGJ is effective remain questions to be tested.</w:t>
      </w:r>
    </w:p>
    <w:p>
      <w:pPr>
        <w:spacing w:line="276" w:lineRule="auto" w:after="120"/>
      </w:pPr>
      <w:r>
        <w:rPr>
          <w:sz w:val="24"/>
          <w:rFonts w:ascii="Arial" w:hAnsi="Arial" w:eastAsia="Arial" w:cs="Arial"/>
          <w:szCs w:val="24"/>
        </w:rPr>
        <w:t>Keywords: pharmacy OSCE; AI simulated patients; role consistency; performance assessment; Evidence-Graph Judge</w:t>
      </w:r>
    </w:p>
    <w:p>
      <w:pPr>
        <w:pStyle w:val="Heading1"/>
        <w:spacing w:line="276" w:lineRule="auto" w:after="120"/>
      </w:pPr>
      <w:r>
        <w:rPr>
          <w:rFonts w:ascii="Arial" w:hAnsi="Arial" w:eastAsia="Arial" w:cs="Arial"/>
          <w:sz w:val="26"/>
          <w:szCs w:val="26"/>
        </w:rPr>
        <w:t>1 Background and Objectives</w:t>
      </w:r>
    </w:p>
    <w:p>
      <w:pPr>
        <w:spacing w:line="276" w:lineRule="auto" w:after="120"/>
      </w:pPr>
      <w:r>
        <w:rPr>
          <w:rFonts w:ascii="Arial" w:hAnsi="Arial" w:eastAsia="Arial" w:cs="Arial"/>
          <w:sz w:val="24"/>
          <w:szCs w:val="24"/>
        </w:rPr>
        <w:t>The School already has cases, role requirements and assessment experience from human-delivered OSCEs. Our system aims to increase students' opportunities to practise and reduce the work involved in arranging human role players for each session. Studies of pharmacy OSCE implementation describe the staffing and resource requirements, while the ASPE Standards of Best Practice emphasise accurate role portrayal, consistent briefing and accurate assessment records. Introducing AI therefore requires us to test quality against the existing professional requirements. The ability to hold a conversation or positive student feedback alone is insufficient evidence of success.</w:t>
      </w:r>
      <w:hyperlink w:anchor="ref_STURPE">
        <w:r>
          <w:rPr>
            <w:color w:val="184E7B"/>
            <w:u w:val="single"/>
            <w:sz w:val="20"/>
            <w:rFonts w:ascii="Arial" w:hAnsi="Arial" w:eastAsia="Arial" w:cs="Arial"/>
            <w:szCs w:val="20"/>
          </w:rPr>
          <w:t>[1]</w:t>
        </w:r>
      </w:hyperlink>
      <w:r>
        <w:rPr>
          <w:rFonts w:ascii="Arial" w:hAnsi="Arial" w:eastAsia="Arial" w:cs="Arial"/>
          <w:sz w:val="24"/>
          <w:szCs w:val="24"/>
        </w:rPr>
      </w:r>
      <w:hyperlink w:anchor="ref_R01">
        <w:r>
          <w:rPr>
            <w:color w:val="184E7B"/>
            <w:u w:val="single"/>
            <w:sz w:val="20"/>
            <w:rFonts w:ascii="Arial" w:hAnsi="Arial" w:eastAsia="Arial" w:cs="Arial"/>
            <w:szCs w:val="20"/>
          </w:rPr>
          <w:t>[2]</w:t>
        </w:r>
      </w:hyperlink>
      <w:r>
        <w:rPr>
          <w:rFonts w:ascii="Arial" w:hAnsi="Arial" w:eastAsia="Arial" w:cs="Arial"/>
          <w:sz w:val="24"/>
          <w:szCs w:val="24"/>
        </w:rPr>
      </w:r>
    </w:p>
    <w:p>
      <w:pPr>
        <w:spacing w:line="276" w:lineRule="auto" w:after="120"/>
      </w:pPr>
      <w:r>
        <w:rPr>
          <w:rFonts w:ascii="Arial" w:hAnsi="Arial" w:eastAsia="Arial" w:cs="Arial"/>
          <w:sz w:val="24"/>
          <w:szCs w:val="24"/>
        </w:rPr>
        <w:t>We will first address the School's practical questions: can the four stations be completed successfully, does the AI follow the role requirements, does its assessment agree with faculty judgement, and is it suitable for formative practice? The role consistency, boundary compliance and completion targets in the School's specification will guide this review. We will then address the paper's methodological question: with the same cases, model and knowledge materials, is EGJ more reliable than a conventional AI approach in which the model separately infers role behaviour and assessment decisions? Data from the same activity will address both questions, but the analyses and conclusions will remain separate.</w:t>
      </w:r>
      <w:hyperlink w:anchor="ref_R17">
        <w:r>
          <w:rPr>
            <w:color w:val="184E7B"/>
            <w:u w:val="single"/>
            <w:sz w:val="20"/>
            <w:rFonts w:ascii="Arial" w:hAnsi="Arial" w:eastAsia="Arial" w:cs="Arial"/>
            <w:szCs w:val="20"/>
          </w:rPr>
          <w:t>[10]</w:t>
        </w:r>
      </w:hyperlink>
      <w:r>
        <w:rPr>
          <w:rFonts w:ascii="Arial" w:hAnsi="Arial" w:eastAsia="Arial" w:cs="Arial"/>
          <w:sz w:val="24"/>
          <w:szCs w:val="24"/>
        </w:rPr>
      </w:r>
    </w:p>
    <w:p>
      <w:pPr>
        <w:spacing w:line="276" w:lineRule="auto" w:after="120"/>
      </w:pPr>
      <w:r>
        <w:rPr>
          <w:rFonts w:ascii="Arial" w:hAnsi="Arial" w:eastAsia="Arial" w:cs="Arial"/>
          <w:sz w:val="24"/>
          <w:szCs w:val="24"/>
        </w:rPr>
        <w:t>The main text explains the rationale, method and study arrangements. Appendix A contains the five-category role review form; Appendix B contains assessment forms with the four stations' criteria already entered; Appendix C contains the student questionnaire; and Appendix D contains the faculty form for judging the system's educational use. The forms can be completed electronically using the checkboxes and text fields, or printed and completed by hand.</w:t>
      </w:r>
    </w:p>
    <w:p>
      <w:pPr>
        <w:pStyle w:val="Heading1"/>
        <w:pageBreakBefore w:val="0"/>
        <w:spacing w:line="276" w:lineRule="auto" w:after="120"/>
      </w:pPr>
      <w:r>
        <w:rPr>
          <w:rFonts w:ascii="Arial" w:hAnsi="Arial" w:eastAsia="Arial" w:cs="Arial"/>
          <w:sz w:val="26"/>
          <w:szCs w:val="26"/>
        </w:rPr>
        <w:t>2 Existing AI OSCE Approaches and the Research Problem</w:t>
      </w:r>
    </w:p>
    <w:p>
      <w:pPr>
        <w:spacing w:line="276" w:lineRule="auto" w:after="120"/>
      </w:pPr>
      <w:r>
        <w:rPr>
          <w:rFonts w:ascii="Arial" w:hAnsi="Arial" w:eastAsia="Arial" w:cs="Arial"/>
          <w:sz w:val="24"/>
          <w:szCs w:val="24"/>
        </w:rPr>
        <w:t>In a conventional AI OSCE, a large language model (LLM) uses the case, role instructions and relevant knowledge to conduct the consultation. After the consultation, it receives the full dialogue and assessment rubric to evaluate performance. Systems such as MedSimAI already use structured role requirements, the complete interaction history, item-level rubrics and verbatim evidence. This is a reasonable strong baseline, and our comparison will retain all of these materials.</w:t>
      </w:r>
      <w:hyperlink w:anchor="ref_R34">
        <w:r>
          <w:rPr>
            <w:color w:val="184E7B"/>
            <w:u w:val="single"/>
            <w:sz w:val="20"/>
            <w:rFonts w:ascii="Arial" w:hAnsi="Arial" w:eastAsia="Arial" w:cs="Arial"/>
            <w:szCs w:val="20"/>
          </w:rPr>
          <w:t>[4]</w:t>
        </w:r>
      </w:hyperlink>
      <w:r>
        <w:rPr>
          <w:rFonts w:ascii="Arial" w:hAnsi="Arial" w:eastAsia="Arial" w:cs="Arial"/>
          <w:sz w:val="24"/>
          <w:szCs w:val="24"/>
        </w:rPr>
        <w:t xml:space="preserve"> Automated AI assessment in pharmacy has also been studied. However, we have not obtained the full text of the study by Sourial et al. We use its public abstract only to establish that work exists in this area, without citing unverified experimental details.</w:t>
      </w:r>
      <w:hyperlink w:anchor="ref_SOURIAL">
        <w:r>
          <w:rPr>
            <w:color w:val="184E7B"/>
            <w:u w:val="single"/>
            <w:sz w:val="20"/>
            <w:rFonts w:ascii="Arial" w:hAnsi="Arial" w:eastAsia="Arial" w:cs="Arial"/>
            <w:szCs w:val="20"/>
          </w:rPr>
          <w:t>[5]</w:t>
        </w:r>
      </w:hyperlink>
      <w:r>
        <w:rPr>
          <w:rFonts w:ascii="Arial" w:hAnsi="Arial" w:eastAsia="Arial" w:cs="Arial"/>
          <w:sz w:val="24"/>
          <w:szCs w:val="24"/>
        </w:rPr>
      </w:r>
    </w:p>
    <w:p>
      <w:pPr>
        <w:spacing w:line="276" w:lineRule="auto" w:after="120"/>
      </w:pPr>
      <w:r>
        <w:rPr>
          <w:rFonts w:ascii="Arial" w:hAnsi="Arial" w:eastAsia="Arial" w:cs="Arial"/>
          <w:sz w:val="24"/>
          <w:szCs w:val="24"/>
        </w:rPr>
        <w:t>A question that still needs testing is how the interaction itself changes the conditions for assessment. A pharmacy chatbot training study reported excessive patient disclosure and shortcomings in pharmacotherapy feedback. Another OSCE study explicitly distinguished information appearing in the dialogue from the student actively eliciting or confirming that information. Assessment must therefore consider who supplied the information, when it was supplied and whether the student had received a prompt.</w:t>
      </w:r>
      <w:hyperlink w:anchor="ref_R03">
        <w:r>
          <w:rPr>
            <w:color w:val="184E7B"/>
            <w:u w:val="single"/>
            <w:sz w:val="20"/>
            <w:rFonts w:ascii="Arial" w:hAnsi="Arial" w:eastAsia="Arial" w:cs="Arial"/>
            <w:szCs w:val="20"/>
          </w:rPr>
          <w:t>[3]</w:t>
        </w:r>
      </w:hyperlink>
      <w:r>
        <w:rPr>
          <w:rFonts w:ascii="Arial" w:hAnsi="Arial" w:eastAsia="Arial" w:cs="Arial"/>
          <w:sz w:val="24"/>
          <w:szCs w:val="24"/>
        </w:rPr>
      </w:r>
      <w:hyperlink w:anchor="ref_R14">
        <w:r>
          <w:rPr>
            <w:color w:val="184E7B"/>
            <w:u w:val="single"/>
            <w:sz w:val="20"/>
            <w:rFonts w:ascii="Arial" w:hAnsi="Arial" w:eastAsia="Arial" w:cs="Arial"/>
            <w:szCs w:val="20"/>
          </w:rPr>
          <w:t>[6]</w:t>
        </w:r>
      </w:hyperlink>
      <w:r>
        <w:rPr>
          <w:rFonts w:ascii="Arial" w:hAnsi="Arial" w:eastAsia="Arial" w:cs="Arial"/>
          <w:sz w:val="24"/>
          <w:szCs w:val="24"/>
        </w:rPr>
      </w:r>
    </w:p>
    <w:p>
      <w:pPr>
        <w:spacing w:line="276" w:lineRule="auto" w:after="120"/>
      </w:pPr>
      <w:r>
        <w:rPr>
          <w:rFonts w:ascii="Arial" w:hAnsi="Arial" w:eastAsia="Arial" w:cs="Arial"/>
          <w:sz w:val="24"/>
          <w:szCs w:val="24"/>
        </w:rPr>
        <w:t>Pharmacy counselling also requires each recommendation to be linked to the particular patient, medicine and regimen. The supplied onychomycosis, migraine, diuretic and methotrexate (MTX) stations all involve medication appropriateness, contraindications or interactions, administration and safety. The professional framework for comprehensive medication management likewise calls for assessment of indication, effectiveness, safety and adherence. These conditions increase the information that role control and assessment must both check; they do not establish that existing models necessarily make errors.</w:t>
      </w:r>
      <w:hyperlink w:anchor="ref_R23">
        <w:r>
          <w:rPr>
            <w:color w:val="184E7B"/>
            <w:u w:val="single"/>
            <w:sz w:val="20"/>
            <w:rFonts w:ascii="Arial" w:hAnsi="Arial" w:eastAsia="Arial" w:cs="Arial"/>
            <w:szCs w:val="20"/>
          </w:rPr>
          <w:t>[7]</w:t>
        </w:r>
      </w:hyperlink>
      <w:r>
        <w:rPr>
          <w:rFonts w:ascii="Arial" w:hAnsi="Arial" w:eastAsia="Arial" w:cs="Arial"/>
          <w:sz w:val="24"/>
          <w:szCs w:val="24"/>
        </w:rPr>
      </w:r>
    </w:p>
    <w:p>
      <w:pPr>
        <w:keepNext/>
        <w:spacing w:after="120" w:line="276" w:lineRule="auto"/>
        <w:jc w:val="left"/>
      </w:pPr>
      <w:r>
        <w:rPr>
          <w:rFonts w:ascii="Arial" w:hAnsi="Arial" w:eastAsia="Arial" w:cs="Arial"/>
          <w:sz w:val="24"/>
          <w:szCs w:val="24"/>
        </w:rPr>
        <w:drawing>
          <wp:inline xmlns:a="http://schemas.openxmlformats.org/drawingml/2006/main" xmlns:pic="http://schemas.openxmlformats.org/drawingml/2006/picture">
            <wp:extent cx="5943600" cy="5217160"/>
            <wp:docPr id="1" name="Picture 1"/>
            <wp:cNvGraphicFramePr>
              <a:graphicFrameLocks noChangeAspect="1"/>
            </wp:cNvGraphicFramePr>
            <a:graphic>
              <a:graphicData uri="http://schemas.openxmlformats.org/drawingml/2006/picture">
                <pic:pic>
                  <pic:nvPicPr>
                    <pic:cNvPr id="0" name="architecture_compare.png"/>
                    <pic:cNvPicPr/>
                  </pic:nvPicPr>
                  <pic:blipFill>
                    <a:blip r:embed="rId11"/>
                    <a:stretch>
                      <a:fillRect/>
                    </a:stretch>
                  </pic:blipFill>
                  <pic:spPr>
                    <a:xfrm>
                      <a:off x="0" y="0"/>
                      <a:ext cx="5943600" cy="5217160"/>
                    </a:xfrm>
                    <a:prstGeom prst="rect"/>
                  </pic:spPr>
                </pic:pic>
              </a:graphicData>
            </a:graphic>
          </wp:inline>
        </w:drawing>
      </w:r>
    </w:p>
    <w:p>
      <w:pPr>
        <w:spacing w:after="120" w:line="276" w:lineRule="auto"/>
        <w:jc w:val="left"/>
      </w:pPr>
      <w:r>
        <w:rPr>
          <w:sz w:val="24"/>
          <w:rFonts w:ascii="Arial" w:hAnsi="Arial" w:eastAsia="Arial" w:cs="Arial"/>
          <w:szCs w:val="24"/>
        </w:rPr>
        <w:t>Figure 1. Conventional AI OSCE and EGJ use the same materials but execute the task differently.</w:t>
      </w:r>
    </w:p>
    <w:p>
      <w:pPr>
        <w:spacing w:line="276" w:lineRule="auto" w:after="120"/>
      </w:pPr>
      <w:r>
        <w:rPr>
          <w:sz w:val="24"/>
          <w:rFonts w:ascii="Arial" w:hAnsi="Arial" w:eastAsia="Arial" w:cs="Arial"/>
          <w:szCs w:val="24"/>
        </w:rPr>
        <w:t>Both methods retain the complete history, speaker identities, timestamps and records of prompts actually delivered. EGJ converts these records into executable state shared by role control and assessment. Each turn first updates the evidence, then computes role permissions and assessment status separately. A prompt does not affect the assessment until it has actually been delivered.</w:t>
      </w:r>
    </w:p>
    <w:p>
      <w:pPr>
        <w:pStyle w:val="Heading1"/>
        <w:pageBreakBefore w:val="0"/>
        <w:spacing w:line="276" w:lineRule="auto" w:after="120"/>
      </w:pPr>
      <w:r>
        <w:rPr>
          <w:rFonts w:ascii="Arial" w:hAnsi="Arial" w:eastAsia="Arial" w:cs="Arial"/>
          <w:sz w:val="26"/>
          <w:szCs w:val="26"/>
        </w:rPr>
        <w:t>3 Evidence-Graph Judge: Proposed Method</w:t>
      </w:r>
    </w:p>
    <w:p>
      <w:pPr>
        <w:spacing w:line="276" w:lineRule="auto" w:after="120"/>
      </w:pPr>
      <w:r>
        <w:rPr>
          <w:rFonts w:ascii="Arial" w:hAnsi="Arial" w:eastAsia="Arial" w:cs="Arial"/>
          <w:sz w:val="24"/>
          <w:szCs w:val="24"/>
        </w:rPr>
        <w:t>EGJ compiles role permissions and assessment requirements into a rule graph. Evidence matching preserves the source, sequence and medication conditions of each event, allowing the system to determine both what the AI may say and which requirements the student's performance has met. Role rules and assessment rules remain distinct nodes. They share actual events and prerequisites, with explicit links for prompts and corrections.</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63"/>
        <w:gridCol w:w="3249"/>
        <w:gridCol w:w="3249"/>
      </w:tblGrid>
      <w:tr>
        <w:trPr>
          <w:cantSplit/>
          <w:tblHeader/>
        </w:trPr>
        <w:tc>
          <w:tcPr>
            <w:tcW w:type="dxa" w:w="2863"/>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Inputs</w:t>
            </w:r>
          </w:p>
        </w:tc>
        <w:tc>
          <w:tcPr>
            <w:tcW w:type="dxa" w:w="3249"/>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Role-control outputs</w:t>
            </w:r>
          </w:p>
        </w:tc>
        <w:tc>
          <w:tcPr>
            <w:tcW w:type="dxa" w:w="3249"/>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Performance-assessment outputs</w:t>
            </w:r>
          </w:p>
        </w:tc>
      </w:tr>
      <w:tr>
        <w:trPr>
          <w:cantSplit/>
        </w:trPr>
        <w:tc>
          <w:tcPr>
            <w:tcW w:type="dxa" w:w="286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Fixed rule graph approved by the School</w:t>
              <w:br/>
              <w:t>Current dialogue evidence graph</w:t>
              <w:br/>
              <w:t>Current session state</w:t>
            </w:r>
          </w:p>
        </w:tc>
        <w:tc>
          <w:tcPr>
            <w:tcW w:type="dxa" w:w="3249"/>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What must be answered this turn</w:t>
              <w:br/>
              <w:t>What may be answered</w:t>
              <w:br/>
              <w:t>What must not be disclosed</w:t>
              <w:br/>
              <w:t>Whether a specified prompt is authorised</w:t>
            </w:r>
          </w:p>
        </w:tc>
        <w:tc>
          <w:tcPr>
            <w:tcW w:type="dxa" w:w="3249"/>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Which requirements have been met</w:t>
              <w:br/>
              <w:t>Which remain unmet or cannot be verified</w:t>
              <w:br/>
              <w:t>Consequences of prompts, errors and corrections</w:t>
              <w:br/>
              <w:t>Which items require faculty review</w:t>
            </w:r>
          </w:p>
        </w:tc>
      </w:tr>
    </w:tbl>
    <w:p>
      <w:pPr>
        <w:spacing w:after="60" w:line="20" w:lineRule="exact"/>
        <w:rPr>
          <w:sz w:val="2"/>
        </w:rPr>
      </w:pPr>
      <w:r>
        <w:rPr>
          <w:rFonts w:ascii="Arial" w:hAnsi="Arial" w:eastAsia="Arial" w:cs="Arial"/>
          <w:sz w:val="24"/>
          <w:szCs w:val="24"/>
        </w:rPr>
      </w:r>
      <w:r>
        <w:rPr>
          <w:sz w:val="24"/>
          <w:rFonts w:ascii="Arial" w:hAnsi="Arial" w:eastAsia="Arial" w:cs="Arial"/>
          <w:szCs w:val="24"/>
        </w:rPr>
      </w:r>
    </w:p>
    <w:p>
      <w:pPr>
        <w:pStyle w:val="Heading2"/>
        <w:spacing w:line="276" w:lineRule="auto" w:after="120"/>
      </w:pPr>
      <w:r>
        <w:rPr>
          <w:rFonts w:ascii="Arial" w:hAnsi="Arial" w:eastAsia="Arial" w:cs="Arial"/>
          <w:sz w:val="24"/>
          <w:szCs w:val="24"/>
        </w:rPr>
        <w:t>3.1 Source Attribution and Correction: An MTX Example</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79"/>
        <w:gridCol w:w="2918"/>
        <w:gridCol w:w="2863"/>
      </w:tblGrid>
      <w:tr>
        <w:trPr>
          <w:cantSplit/>
          <w:tblHeader/>
        </w:trPr>
        <w:tc>
          <w:tcPr>
            <w:tcW w:type="dxa" w:w="3579"/>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Actual utterance</w:t>
            </w:r>
          </w:p>
        </w:tc>
        <w:tc>
          <w:tcPr>
            <w:tcW w:type="dxa" w:w="291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Fact to preserve</w:t>
            </w:r>
          </w:p>
        </w:tc>
        <w:tc>
          <w:tcPr>
            <w:tcW w:type="dxa" w:w="2863"/>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Decision</w:t>
            </w:r>
          </w:p>
        </w:tc>
      </w:tr>
      <w:tr>
        <w:trPr>
          <w:cantSplit/>
        </w:trPr>
        <w:tc>
          <w:tcPr>
            <w:tcW w:type="dxa" w:w="3579"/>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Student: Take methotrexate once daily.</w:t>
            </w:r>
          </w:p>
        </w:tc>
        <w:tc>
          <w:tcPr>
            <w:tcW w:type="dxa" w:w="291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The student recommends once-daily dosing.</w:t>
            </w:r>
          </w:p>
        </w:tc>
        <w:tc>
          <w:tcPr>
            <w:tcW w:type="dxa" w:w="286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This conflicts with the station's once-weekly requirement.</w:t>
            </w:r>
          </w:p>
        </w:tc>
      </w:tr>
      <w:tr>
        <w:trPr>
          <w:cantSplit/>
        </w:trPr>
        <w:tc>
          <w:tcPr>
            <w:tcW w:type="dxa" w:w="3579"/>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Patient: So I take it once every day?</w:t>
            </w:r>
          </w:p>
        </w:tc>
        <w:tc>
          <w:tcPr>
            <w:tcW w:type="dxa" w:w="2918"/>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The patient repeats what the student has just said.</w:t>
            </w:r>
          </w:p>
        </w:tc>
        <w:tc>
          <w:tcPr>
            <w:tcW w:type="dxa" w:w="286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If clarification is permitted, the patient has not exceeded the role's authority. This cannot count as a correct student answer.</w:t>
            </w:r>
          </w:p>
        </w:tc>
      </w:tr>
      <w:tr>
        <w:trPr>
          <w:cantSplit/>
        </w:trPr>
        <w:tc>
          <w:tcPr>
            <w:tcW w:type="dxa" w:w="3579"/>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Student: Let me correct that: once a week, not every day.</w:t>
            </w:r>
          </w:p>
        </w:tc>
        <w:tc>
          <w:tcPr>
            <w:tcW w:type="dxa" w:w="291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The student explicitly corrects the earlier recommendation.</w:t>
            </w:r>
          </w:p>
        </w:tc>
        <w:tc>
          <w:tcPr>
            <w:tcW w:type="dxa" w:w="286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The current frequency is correct; the earlier error remains in the record. The final grade follows the School's correction policy.</w:t>
            </w:r>
          </w:p>
        </w:tc>
      </w:tr>
    </w:tbl>
    <w:p>
      <w:pPr>
        <w:spacing w:after="60" w:line="20" w:lineRule="exact"/>
        <w:rPr>
          <w:sz w:val="2"/>
        </w:rPr>
      </w:pPr>
      <w:r>
        <w:rPr>
          <w:rFonts w:ascii="Arial" w:hAnsi="Arial" w:eastAsia="Arial" w:cs="Arial"/>
          <w:sz w:val="24"/>
          <w:szCs w:val="24"/>
        </w:rPr>
      </w:r>
      <w:r>
        <w:rPr>
          <w:sz w:val="24"/>
          <w:rFonts w:ascii="Arial" w:hAnsi="Arial" w:eastAsia="Arial" w:cs="Arial"/>
          <w:szCs w:val="24"/>
        </w:rPr>
      </w:r>
    </w:p>
    <w:p>
      <w:pPr>
        <w:spacing w:line="276" w:lineRule="auto" w:after="120"/>
      </w:pPr>
      <w:r>
        <w:rPr>
          <w:rFonts w:ascii="Arial" w:hAnsi="Arial" w:eastAsia="Arial" w:cs="Arial"/>
          <w:sz w:val="24"/>
          <w:szCs w:val="24"/>
        </w:rPr>
        <w:t>The first utterance must not be deleted after the correction, nor treated indefinitely as an unresolved error. EGJ preserves both the historical error and its current corrected status, then applies the School's rules. If the School has not specified the grade consequence of a self-correction, the item goes to faculty review; the program does not invent a new assessment rule.</w:t>
      </w:r>
    </w:p>
    <w:p>
      <w:pPr>
        <w:pStyle w:val="Heading2"/>
        <w:spacing w:line="276" w:lineRule="auto" w:after="120"/>
      </w:pPr>
      <w:r>
        <w:rPr>
          <w:rFonts w:ascii="Arial" w:hAnsi="Arial" w:eastAsia="Arial" w:cs="Arial"/>
          <w:sz w:val="24"/>
          <w:szCs w:val="24"/>
        </w:rPr>
        <w:t>3.2 Linking Prompts to Assessment: An Onychomycosis Example</w:t>
      </w:r>
    </w:p>
    <w:p>
      <w:pPr>
        <w:spacing w:line="276" w:lineRule="auto" w:after="120"/>
      </w:pPr>
      <w:r>
        <w:rPr>
          <w:rFonts w:ascii="Arial" w:hAnsi="Arial" w:eastAsia="Arial" w:cs="Arial"/>
          <w:sz w:val="24"/>
          <w:szCs w:val="24"/>
        </w:rPr>
        <w:t>Suppose the student makes a substantive recommendation but omits a specified risk. The doctor delivers the authorised prompt under the School's rules, and the student then gives the correct supplementary answer. Role control should record that the prompt allowance has been used. Assessment should credit the supplementary answer while retaining the station's C+ grade cap. A draft prompt that was never delivered has no assessment consequence. If the AI discloses an answer without authorisation, the system records this intervention for faculty review rather than automatically awarding full credit or penalising the student.</w:t>
      </w:r>
    </w:p>
    <w:p>
      <w:pPr>
        <w:spacing w:line="276" w:lineRule="auto" w:after="120"/>
      </w:pPr>
      <w:r>
        <w:rPr>
          <w:rFonts w:ascii="Arial" w:hAnsi="Arial" w:eastAsia="Arial" w:cs="Arial"/>
          <w:sz w:val="24"/>
          <w:szCs w:val="24"/>
        </w:rPr>
        <w:t>Graph-Structured Rubrics (GSR) compiles assessment criteria into graphs and executes them deterministically. LogiDebrief models participants’ behaviours and temporal conditions. EGJ builds on these approaches by linking role authorisation, actual delivery and the student’s response in a shared execution process. We will test whether this keeps subsequent role permissions and assessment consequences consistent.</w:t>
      </w:r>
      <w:hyperlink w:anchor="ref_R07">
        <w:r>
          <w:rPr>
            <w:color w:val="184E7B"/>
            <w:u w:val="single"/>
            <w:sz w:val="20"/>
            <w:rFonts w:ascii="Arial" w:hAnsi="Arial" w:eastAsia="Arial" w:cs="Arial"/>
            <w:szCs w:val="20"/>
          </w:rPr>
          <w:t>[8]</w:t>
        </w:r>
      </w:hyperlink>
      <w:r>
        <w:rPr>
          <w:rFonts w:ascii="Arial" w:hAnsi="Arial" w:eastAsia="Arial" w:cs="Arial"/>
          <w:sz w:val="24"/>
          <w:szCs w:val="24"/>
        </w:rPr>
      </w:r>
      <w:hyperlink w:anchor="ref_R24">
        <w:r>
          <w:rPr>
            <w:color w:val="184E7B"/>
            <w:u w:val="single"/>
            <w:sz w:val="20"/>
            <w:rFonts w:ascii="Arial" w:hAnsi="Arial" w:eastAsia="Arial" w:cs="Arial"/>
            <w:szCs w:val="20"/>
          </w:rPr>
          <w:t>[9]</w:t>
        </w:r>
      </w:hyperlink>
      <w:r>
        <w:rPr>
          <w:rFonts w:ascii="Arial" w:hAnsi="Arial" w:eastAsia="Arial" w:cs="Arial"/>
          <w:sz w:val="24"/>
          <w:szCs w:val="24"/>
        </w:rPr>
      </w:r>
    </w:p>
    <w:p>
      <w:pPr>
        <w:spacing w:line="276" w:lineRule="auto" w:after="120"/>
      </w:pPr>
      <w:r>
        <w:rPr>
          <w:sz w:val="24"/>
          <w:rFonts w:ascii="Arial" w:hAnsi="Arial" w:eastAsia="Arial" w:cs="Arial"/>
          <w:szCs w:val="24"/>
        </w:rPr>
        <w:t>The paper will cover the background, EGJ method, four-station study, role and assessment results, educational use and limitations. The actual sample size, differences and confidence intervals in the abstract will be entered after the study. Conclusions about effectiveness will depend on the results.</w:t>
      </w:r>
    </w:p>
    <w:p>
      <w:pPr>
        <w:pStyle w:val="Heading1"/>
        <w:pageBreakBefore w:val="0"/>
        <w:spacing w:line="276" w:lineRule="auto" w:after="120"/>
      </w:pPr>
      <w:r>
        <w:rPr>
          <w:rFonts w:ascii="Arial" w:hAnsi="Arial" w:eastAsia="Arial" w:cs="Arial"/>
          <w:sz w:val="26"/>
          <w:szCs w:val="26"/>
        </w:rPr>
        <w:t>4 Study Design and the Two Comparisons</w:t>
      </w:r>
    </w:p>
    <w:p>
      <w:pPr>
        <w:keepNext/>
        <w:spacing w:after="120" w:line="276" w:lineRule="auto"/>
        <w:jc w:val="left"/>
      </w:pPr>
      <w:r>
        <w:rPr>
          <w:rFonts w:ascii="Arial" w:hAnsi="Arial" w:eastAsia="Arial" w:cs="Arial"/>
          <w:sz w:val="24"/>
          <w:szCs w:val="24"/>
        </w:rPr>
        <w:drawing>
          <wp:inline xmlns:a="http://schemas.openxmlformats.org/drawingml/2006/main" xmlns:pic="http://schemas.openxmlformats.org/drawingml/2006/picture">
            <wp:extent cx="5943600" cy="2608580"/>
            <wp:docPr id="2" name="Picture 2"/>
            <wp:cNvGraphicFramePr>
              <a:graphicFrameLocks noChangeAspect="1"/>
            </wp:cNvGraphicFramePr>
            <a:graphic>
              <a:graphicData uri="http://schemas.openxmlformats.org/drawingml/2006/picture">
                <pic:pic>
                  <pic:nvPicPr>
                    <pic:cNvPr id="0" name="comparison_flow.png"/>
                    <pic:cNvPicPr/>
                  </pic:nvPicPr>
                  <pic:blipFill>
                    <a:blip r:embed="rId12"/>
                    <a:stretch>
                      <a:fillRect/>
                    </a:stretch>
                  </pic:blipFill>
                  <pic:spPr>
                    <a:xfrm>
                      <a:off x="0" y="0"/>
                      <a:ext cx="5943600" cy="2608580"/>
                    </a:xfrm>
                    <a:prstGeom prst="rect"/>
                  </pic:spPr>
                </pic:pic>
              </a:graphicData>
            </a:graphic>
          </wp:inline>
        </w:drawing>
      </w:r>
    </w:p>
    <w:p>
      <w:pPr>
        <w:spacing w:after="120" w:line="276" w:lineRule="auto"/>
        <w:jc w:val="left"/>
      </w:pPr>
      <w:r>
        <w:rPr>
          <w:sz w:val="24"/>
          <w:rFonts w:ascii="Arial" w:hAnsi="Arial" w:eastAsia="Arial" w:cs="Arial"/>
          <w:szCs w:val="24"/>
        </w:rPr>
        <w:t>Figure 2. One activity provides data for both practical system validation and comparison of the two methods.</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404"/>
        <w:gridCol w:w="3083"/>
      </w:tblGrid>
      <w:tr>
        <w:trPr>
          <w:cantSplit/>
          <w:tblHeader/>
        </w:trPr>
        <w:tc>
          <w:tcPr>
            <w:tcW w:type="dxa" w:w="1872"/>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Research question</w:t>
            </w:r>
          </w:p>
        </w:tc>
        <w:tc>
          <w:tcPr>
            <w:tcW w:type="dxa" w:w="4404"/>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Procedure</w:t>
            </w:r>
          </w:p>
        </w:tc>
        <w:tc>
          <w:tcPr>
            <w:tcW w:type="dxa" w:w="3083"/>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Results to report</w:t>
            </w:r>
          </w:p>
        </w:tc>
      </w:tr>
      <w:tr>
        <w:trPr>
          <w:cantSplit/>
        </w:trPr>
        <w:tc>
          <w:tcPr>
            <w:tcW w:type="dxa" w:w="187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Is the system feasible and does it meet the School's requirements?</w:t>
            </w:r>
          </w:p>
        </w:tc>
        <w:tc>
          <w:tcPr>
            <w:tcW w:type="dxa" w:w="440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Faculty review real consultations against the existing requirements. We record completion, interruptions, role issues and assessment issues, and students complete an experience questionnaire.</w:t>
            </w:r>
          </w:p>
        </w:tc>
        <w:tc>
          <w:tcPr>
            <w:tcW w:type="dxa" w:w="308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Completion across the four stations, compliance in the five role categories, assessment accuracy, critical errors and faculty recommendations for use. Acceptance thresholds will be confirmed before the activity.</w:t>
            </w:r>
          </w:p>
        </w:tc>
      </w:tr>
      <w:tr>
        <w:trPr>
          <w:cantSplit/>
        </w:trPr>
        <w:tc>
          <w:tcPr>
            <w:tcW w:type="dxa" w:w="1872"/>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Does EGJ produce more compliant role behaviour?</w:t>
            </w:r>
          </w:p>
        </w:tc>
        <w:tc>
          <w:tcPr>
            <w:tcW w:type="dxa" w:w="4404"/>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Each student uses each method at one station without repeating a case. We also select one dialogue position from each session and generate the first response from both methods offline using the same preceding context.</w:t>
            </w:r>
          </w:p>
        </w:tc>
        <w:tc>
          <w:tcPr>
            <w:tcW w:type="dxa" w:w="308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Quality of the live consultations and paired differences between responses to the same input. These two outcomes will be reported separately.</w:t>
            </w:r>
          </w:p>
        </w:tc>
      </w:tr>
      <w:tr>
        <w:trPr>
          <w:cantSplit/>
        </w:trPr>
        <w:tc>
          <w:tcPr>
            <w:tcW w:type="dxa" w:w="187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Does EGJ assess performance more accurately?</w:t>
            </w:r>
          </w:p>
        </w:tc>
        <w:tc>
          <w:tcPr>
            <w:tcW w:type="dxa" w:w="440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Both methods assess all 32 complete dialogues, using the same checked transcript, original rubric and relevant knowledge. Faculty first establish an independent reference assessment.</w:t>
            </w:r>
          </w:p>
        </w:tc>
        <w:tc>
          <w:tcPr>
            <w:tcW w:type="dxa" w:w="308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Agreement in each method's decisions against the reference for the same performance, the between-method difference and reasons for disagreement.</w:t>
            </w:r>
          </w:p>
        </w:tc>
      </w:tr>
    </w:tbl>
    <w:p>
      <w:pPr>
        <w:spacing w:after="60" w:line="20" w:lineRule="exact"/>
        <w:rPr>
          <w:sz w:val="2"/>
        </w:rPr>
      </w:pPr>
      <w:r>
        <w:rPr>
          <w:rFonts w:ascii="Arial" w:hAnsi="Arial" w:eastAsia="Arial" w:cs="Arial"/>
          <w:sz w:val="24"/>
          <w:szCs w:val="24"/>
        </w:rPr>
      </w:r>
      <w:r>
        <w:rPr>
          <w:sz w:val="24"/>
          <w:rFonts w:ascii="Arial" w:hAnsi="Arial" w:eastAsia="Arial" w:cs="Arial"/>
          <w:szCs w:val="24"/>
        </w:rPr>
      </w:r>
    </w:p>
    <w:p>
      <w:pPr>
        <w:spacing w:line="276" w:lineRule="auto" w:after="120"/>
      </w:pPr>
      <w:r>
        <w:rPr>
          <w:rFonts w:ascii="Arial" w:hAnsi="Arial" w:eastAsia="Arial" w:cs="Arial"/>
          <w:sz w:val="24"/>
          <w:szCs w:val="24"/>
        </w:rPr>
        <w:t>Students will complete the School's tasks naturally rather than memorising experimental scripts. They will not see scores or answers between stations or repeat the same case. We use balanced order and within-participant comparisons, drawing on crossover-design principles for controlling order effects. Using two methods on different cases is not a classical clinical crossover trial of the same condition.</w:t>
      </w:r>
      <w:hyperlink w:anchor="ref_CROSS">
        <w:r>
          <w:rPr>
            <w:color w:val="184E7B"/>
            <w:u w:val="single"/>
            <w:sz w:val="20"/>
            <w:rFonts w:ascii="Arial" w:hAnsi="Arial" w:eastAsia="Arial" w:cs="Arial"/>
            <w:szCs w:val="20"/>
          </w:rPr>
          <w:t>[19]</w:t>
        </w:r>
      </w:hyperlink>
      <w:r>
        <w:rPr>
          <w:rFonts w:ascii="Arial" w:hAnsi="Arial" w:eastAsia="Arial" w:cs="Arial"/>
          <w:sz w:val="24"/>
          <w:szCs w:val="24"/>
        </w:rPr>
      </w:r>
    </w:p>
    <w:p>
      <w:pPr>
        <w:spacing w:line="276" w:lineRule="auto" w:after="120"/>
      </w:pPr>
      <w:r>
        <w:rPr>
          <w:rFonts w:ascii="Arial" w:hAnsi="Arial" w:eastAsia="Arial" w:cs="Arial"/>
          <w:sz w:val="24"/>
          <w:szCs w:val="24"/>
        </w:rPr>
        <w:t>The primary assessment comparison reruns both methods on the same complete, corrected transcript. Correction restores words misrecognised by automatic speech recognition (ASR); it does not correct the student's clinical errors. EGJ's evidence graph is also rebuilt from this transcript. Results using the original live ASR input will be reported separately so that input differences are not mistaken for method differences.</w:t>
      </w:r>
      <w:hyperlink w:anchor="ref_R27">
        <w:r>
          <w:rPr>
            <w:color w:val="184E7B"/>
            <w:u w:val="single"/>
            <w:sz w:val="20"/>
            <w:rFonts w:ascii="Arial" w:hAnsi="Arial" w:eastAsia="Arial" w:cs="Arial"/>
            <w:szCs w:val="20"/>
          </w:rPr>
          <w:t>[13]</w:t>
        </w:r>
      </w:hyperlink>
      <w:r>
        <w:rPr>
          <w:rFonts w:ascii="Arial" w:hAnsi="Arial" w:eastAsia="Arial" w:cs="Arial"/>
          <w:sz w:val="24"/>
          <w:szCs w:val="24"/>
        </w:rPr>
      </w:r>
      <w:hyperlink w:anchor="ref_R29">
        <w:r>
          <w:rPr>
            <w:color w:val="184E7B"/>
            <w:u w:val="single"/>
            <w:sz w:val="20"/>
            <w:rFonts w:ascii="Arial" w:hAnsi="Arial" w:eastAsia="Arial" w:cs="Arial"/>
            <w:szCs w:val="20"/>
          </w:rPr>
          <w:t>[14]</w:t>
        </w:r>
      </w:hyperlink>
      <w:r>
        <w:rPr>
          <w:rFonts w:ascii="Arial" w:hAnsi="Arial" w:eastAsia="Arial" w:cs="Arial"/>
          <w:sz w:val="24"/>
          <w:szCs w:val="24"/>
        </w:rPr>
      </w:r>
    </w:p>
    <w:p>
      <w:pPr>
        <w:spacing w:line="276" w:lineRule="auto" w:after="120"/>
      </w:pPr>
      <w:r>
        <w:rPr>
          <w:rFonts w:ascii="Arial" w:hAnsi="Arial" w:eastAsia="Arial" w:cs="Arial"/>
          <w:sz w:val="24"/>
          <w:szCs w:val="24"/>
        </w:rPr>
        <w:t>For the same-input role comparison, we first define eligible positions after a student's clinical question or recommendation, excluding greetings and device assistance. Before examining either method's output, we sample one position per session using a fixed random seed. Each method receives only the dialogue up to that utterance and the permitted knowledge, and generates one response. Empty outputs remain recorded as system failures; we do not replace them by selecting easier positions.</w:t>
      </w:r>
    </w:p>
    <w:p>
      <w:pPr>
        <w:spacing w:line="276" w:lineRule="auto" w:after="120"/>
      </w:pPr>
      <w:r>
        <w:rPr>
          <w:rFonts w:ascii="Arial" w:hAnsi="Arial" w:eastAsia="Arial" w:cs="Arial"/>
          <w:sz w:val="24"/>
          <w:szCs w:val="24"/>
        </w:rPr>
        <w:t>The proposed study includes 16 independent students, 32 consultations and up to 128 core assessment items. Each station has eight consultations, but each student completes only two stations. This is a pilot of formative practice across four stations, not a validation of the entire pharmacy graduation examination.</w:t>
      </w:r>
      <w:hyperlink w:anchor="ref_R19">
        <w:r>
          <w:rPr>
            <w:color w:val="184E7B"/>
            <w:u w:val="single"/>
            <w:sz w:val="20"/>
            <w:rFonts w:ascii="Arial" w:hAnsi="Arial" w:eastAsia="Arial" w:cs="Arial"/>
            <w:szCs w:val="20"/>
          </w:rPr>
          <w:t>[11]</w:t>
        </w:r>
      </w:hyperlink>
      <w:r>
        <w:rPr>
          <w:rFonts w:ascii="Arial" w:hAnsi="Arial" w:eastAsia="Arial" w:cs="Arial"/>
          <w:sz w:val="24"/>
          <w:szCs w:val="24"/>
        </w:rPr>
      </w:r>
      <w:hyperlink w:anchor="ref_PILOT">
        <w:r>
          <w:rPr>
            <w:color w:val="184E7B"/>
            <w:u w:val="single"/>
            <w:sz w:val="20"/>
            <w:rFonts w:ascii="Arial" w:hAnsi="Arial" w:eastAsia="Arial" w:cs="Arial"/>
            <w:szCs w:val="20"/>
          </w:rPr>
          <w:t>[18]</w:t>
        </w:r>
      </w:hyperlink>
      <w:r>
        <w:rPr>
          <w:rFonts w:ascii="Arial" w:hAnsi="Arial" w:eastAsia="Arial" w:cs="Arial"/>
          <w:sz w:val="24"/>
          <w:szCs w:val="24"/>
        </w:rPr>
      </w:r>
    </w:p>
    <w:p>
      <w:pPr>
        <w:pStyle w:val="Heading1"/>
        <w:pageBreakBefore w:val="0"/>
        <w:spacing w:line="276" w:lineRule="auto" w:after="120"/>
      </w:pPr>
      <w:r>
        <w:rPr>
          <w:rFonts w:ascii="Arial" w:hAnsi="Arial" w:eastAsia="Arial" w:cs="Arial"/>
          <w:sz w:val="26"/>
          <w:szCs w:val="26"/>
        </w:rPr>
        <w:t>5 Schedule for the Morning of 7 October</w:t>
      </w:r>
    </w:p>
    <w:p>
      <w:pPr>
        <w:spacing w:line="276" w:lineRule="auto" w:after="120"/>
      </w:pPr>
      <w:r>
        <w:rPr>
          <w:rFonts w:ascii="Arial" w:hAnsi="Arial" w:eastAsia="Arial" w:cs="Arial"/>
          <w:sz w:val="24"/>
          <w:szCs w:val="24"/>
        </w:rPr>
        <w:t>The activity will run from 09:30 to 13:30, with no more than two students consulting simultaneously. We recommend 16 students in eight pairs, with one device per student. Device checks and a brief operational reminder take place from 09:30 to 09:40. The eight batches run from 09:40 to 13:16, leaving 14 minutes for interruptions and closure. Study information and consent will be handled beforehand and checked on the day.</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03"/>
        <w:gridCol w:w="5781"/>
        <w:gridCol w:w="1376"/>
      </w:tblGrid>
      <w:tr>
        <w:trPr>
          <w:cantSplit/>
          <w:tblHeader/>
        </w:trPr>
        <w:tc>
          <w:tcPr>
            <w:tcW w:type="dxa" w:w="2203"/>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Time within each batch</w:t>
            </w:r>
          </w:p>
        </w:tc>
        <w:tc>
          <w:tcPr>
            <w:tcW w:type="dxa" w:w="5781"/>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Student activity</w:t>
            </w:r>
          </w:p>
        </w:tc>
        <w:tc>
          <w:tcPr>
            <w:tcW w:type="dxa" w:w="1376"/>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Duration</w:t>
            </w:r>
          </w:p>
        </w:tc>
      </w:tr>
      <w:tr>
        <w:trPr>
          <w:cantSplit/>
        </w:trPr>
        <w:tc>
          <w:tcPr>
            <w:tcW w:type="dxa" w:w="220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0–2 min</w:t>
            </w:r>
          </w:p>
        </w:tc>
        <w:tc>
          <w:tcPr>
            <w:tcW w:type="dxa" w:w="5781"/>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Read the first station's task and permitted materials</w:t>
            </w:r>
          </w:p>
        </w:tc>
        <w:tc>
          <w:tcPr>
            <w:tcW w:type="dxa" w:w="1376"/>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2 min</w:t>
            </w:r>
          </w:p>
        </w:tc>
      </w:tr>
      <w:tr>
        <w:trPr>
          <w:cantSplit/>
        </w:trPr>
        <w:tc>
          <w:tcPr>
            <w:tcW w:type="dxa" w:w="220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2–12 min</w:t>
            </w:r>
          </w:p>
        </w:tc>
        <w:tc>
          <w:tcPr>
            <w:tcW w:type="dxa" w:w="5781"/>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Complete the first consultation naturally</w:t>
            </w:r>
          </w:p>
        </w:tc>
        <w:tc>
          <w:tcPr>
            <w:tcW w:type="dxa" w:w="1376"/>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10 min</w:t>
            </w:r>
          </w:p>
        </w:tc>
      </w:tr>
      <w:tr>
        <w:trPr>
          <w:cantSplit/>
        </w:trPr>
        <w:tc>
          <w:tcPr>
            <w:tcW w:type="dxa" w:w="220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12–13 min</w:t>
            </w:r>
          </w:p>
        </w:tc>
        <w:tc>
          <w:tcPr>
            <w:tcW w:type="dxa" w:w="5781"/>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End and clear the session; switch stations</w:t>
            </w:r>
          </w:p>
        </w:tc>
        <w:tc>
          <w:tcPr>
            <w:tcW w:type="dxa" w:w="1376"/>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1 min</w:t>
            </w:r>
          </w:p>
        </w:tc>
      </w:tr>
      <w:tr>
        <w:trPr>
          <w:cantSplit/>
        </w:trPr>
        <w:tc>
          <w:tcPr>
            <w:tcW w:type="dxa" w:w="220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13–15 min</w:t>
            </w:r>
          </w:p>
        </w:tc>
        <w:tc>
          <w:tcPr>
            <w:tcW w:type="dxa" w:w="5781"/>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Read the second station's task and permitted materials</w:t>
            </w:r>
          </w:p>
        </w:tc>
        <w:tc>
          <w:tcPr>
            <w:tcW w:type="dxa" w:w="1376"/>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2 min</w:t>
            </w:r>
          </w:p>
        </w:tc>
      </w:tr>
      <w:tr>
        <w:trPr>
          <w:cantSplit/>
        </w:trPr>
        <w:tc>
          <w:tcPr>
            <w:tcW w:type="dxa" w:w="220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15–25 min</w:t>
            </w:r>
          </w:p>
        </w:tc>
        <w:tc>
          <w:tcPr>
            <w:tcW w:type="dxa" w:w="5781"/>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Complete the second consultation naturally</w:t>
            </w:r>
          </w:p>
        </w:tc>
        <w:tc>
          <w:tcPr>
            <w:tcW w:type="dxa" w:w="1376"/>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10 min</w:t>
            </w:r>
          </w:p>
        </w:tc>
      </w:tr>
      <w:tr>
        <w:trPr>
          <w:cantSplit/>
        </w:trPr>
        <w:tc>
          <w:tcPr>
            <w:tcW w:type="dxa" w:w="220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25–27 min</w:t>
            </w:r>
          </w:p>
        </w:tc>
        <w:tc>
          <w:tcPr>
            <w:tcW w:type="dxa" w:w="5781"/>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Complete Appendix C before viewing feedback</w:t>
            </w:r>
          </w:p>
        </w:tc>
        <w:tc>
          <w:tcPr>
            <w:tcW w:type="dxa" w:w="1376"/>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2 min</w:t>
            </w:r>
          </w:p>
        </w:tc>
      </w:tr>
    </w:tbl>
    <w:p>
      <w:pPr>
        <w:spacing w:after="60" w:line="20" w:lineRule="exact"/>
        <w:rPr>
          <w:sz w:val="2"/>
        </w:rPr>
      </w:pPr>
      <w:r>
        <w:rPr>
          <w:rFonts w:ascii="Arial" w:hAnsi="Arial" w:eastAsia="Arial" w:cs="Arial"/>
          <w:sz w:val="24"/>
          <w:szCs w:val="24"/>
        </w:rPr>
      </w:r>
      <w:r>
        <w:rPr>
          <w:sz w:val="24"/>
          <w:rFonts w:ascii="Arial" w:hAnsi="Arial" w:eastAsia="Arial" w:cs="Arial"/>
          <w:szCs w:val="24"/>
        </w:rPr>
      </w:r>
    </w:p>
    <w:p>
      <w:pPr>
        <w:spacing w:line="276" w:lineRule="auto" w:after="120"/>
      </w:pPr>
      <w:r>
        <w:rPr>
          <w:rFonts w:ascii="Arial" w:hAnsi="Arial" w:eastAsia="Arial" w:cs="Arial"/>
          <w:sz w:val="24"/>
          <w:szCs w:val="24"/>
        </w:rPr>
        <w:t>In the table below, Conv. denotes conventional AI and EGJ denotes the proposed method. Participants will be randomly assigned to the numbered allocations after enrolment. The two students in each batch complete the same stations in the same order, but use the methods in opposite order. The devices will be separated and students will wear headphones.</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3"/>
        <w:gridCol w:w="3524"/>
        <w:gridCol w:w="3524"/>
      </w:tblGrid>
      <w:tr>
        <w:trPr>
          <w:cantSplit/>
          <w:tblHeader/>
        </w:trPr>
        <w:tc>
          <w:tcPr>
            <w:tcW w:type="dxa" w:w="2313"/>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Batch and time</w:t>
            </w:r>
          </w:p>
        </w:tc>
        <w:tc>
          <w:tcPr>
            <w:tcW w:type="dxa" w:w="3524"/>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Student 1</w:t>
            </w:r>
          </w:p>
        </w:tc>
        <w:tc>
          <w:tcPr>
            <w:tcW w:type="dxa" w:w="3524"/>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Student 2</w:t>
            </w:r>
          </w:p>
        </w:tc>
      </w:tr>
      <w:tr>
        <w:trPr>
          <w:cantSplit/>
        </w:trPr>
        <w:tc>
          <w:tcPr>
            <w:tcW w:type="dxa" w:w="231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1 09:40–10:07</w:t>
            </w:r>
          </w:p>
        </w:tc>
        <w:tc>
          <w:tcPr>
            <w:tcW w:type="dxa" w:w="352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01 Onychomycosis (Conv.) → Diuretics (EGJ)</w:t>
            </w:r>
          </w:p>
        </w:tc>
        <w:tc>
          <w:tcPr>
            <w:tcW w:type="dxa" w:w="352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02 Onychomycosis (EGJ) → Diuretics (Conv.)</w:t>
            </w:r>
          </w:p>
        </w:tc>
      </w:tr>
      <w:tr>
        <w:trPr>
          <w:cantSplit/>
        </w:trPr>
        <w:tc>
          <w:tcPr>
            <w:tcW w:type="dxa" w:w="231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2 10:07–10:34</w:t>
            </w:r>
          </w:p>
        </w:tc>
        <w:tc>
          <w:tcPr>
            <w:tcW w:type="dxa" w:w="3524"/>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03 MTX (EGJ) → Migraine (Conv.)</w:t>
            </w:r>
          </w:p>
        </w:tc>
        <w:tc>
          <w:tcPr>
            <w:tcW w:type="dxa" w:w="3524"/>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04 MTX (Conv.) → Migraine (EGJ)</w:t>
            </w:r>
          </w:p>
        </w:tc>
      </w:tr>
      <w:tr>
        <w:trPr>
          <w:cantSplit/>
        </w:trPr>
        <w:tc>
          <w:tcPr>
            <w:tcW w:type="dxa" w:w="231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3 10:34–11:01</w:t>
            </w:r>
          </w:p>
        </w:tc>
        <w:tc>
          <w:tcPr>
            <w:tcW w:type="dxa" w:w="352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05 Diuretics (Conv.) → Migraine (EGJ)</w:t>
            </w:r>
          </w:p>
        </w:tc>
        <w:tc>
          <w:tcPr>
            <w:tcW w:type="dxa" w:w="352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06 Diuretics (EGJ) → Migraine (Conv.)</w:t>
            </w:r>
          </w:p>
        </w:tc>
      </w:tr>
      <w:tr>
        <w:trPr>
          <w:cantSplit/>
        </w:trPr>
        <w:tc>
          <w:tcPr>
            <w:tcW w:type="dxa" w:w="231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4 11:01–11:28</w:t>
            </w:r>
          </w:p>
        </w:tc>
        <w:tc>
          <w:tcPr>
            <w:tcW w:type="dxa" w:w="3524"/>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07 Onychomycosis (EGJ) → MTX (Conv.)</w:t>
            </w:r>
          </w:p>
        </w:tc>
        <w:tc>
          <w:tcPr>
            <w:tcW w:type="dxa" w:w="3524"/>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08 Onychomycosis (Conv.) → MTX (EGJ)</w:t>
            </w:r>
          </w:p>
        </w:tc>
      </w:tr>
      <w:tr>
        <w:trPr>
          <w:cantSplit/>
        </w:trPr>
        <w:tc>
          <w:tcPr>
            <w:tcW w:type="dxa" w:w="231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5 11:28–11:55</w:t>
            </w:r>
          </w:p>
        </w:tc>
        <w:tc>
          <w:tcPr>
            <w:tcW w:type="dxa" w:w="352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09 Diuretics (Conv.) → Onychomycosis (EGJ)</w:t>
            </w:r>
          </w:p>
        </w:tc>
        <w:tc>
          <w:tcPr>
            <w:tcW w:type="dxa" w:w="352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10 Diuretics (EGJ) → Onychomycosis (Conv.)</w:t>
            </w:r>
          </w:p>
        </w:tc>
      </w:tr>
      <w:tr>
        <w:trPr>
          <w:cantSplit/>
        </w:trPr>
        <w:tc>
          <w:tcPr>
            <w:tcW w:type="dxa" w:w="231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6 11:55–12:22</w:t>
            </w:r>
          </w:p>
        </w:tc>
        <w:tc>
          <w:tcPr>
            <w:tcW w:type="dxa" w:w="3524"/>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11 Migraine (EGJ) → MTX (Conv.)</w:t>
            </w:r>
          </w:p>
        </w:tc>
        <w:tc>
          <w:tcPr>
            <w:tcW w:type="dxa" w:w="3524"/>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12 Migraine (Conv.) → MTX (EGJ)</w:t>
            </w:r>
          </w:p>
        </w:tc>
      </w:tr>
      <w:tr>
        <w:trPr>
          <w:cantSplit/>
        </w:trPr>
        <w:tc>
          <w:tcPr>
            <w:tcW w:type="dxa" w:w="231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7 12:22–12:49</w:t>
            </w:r>
          </w:p>
        </w:tc>
        <w:tc>
          <w:tcPr>
            <w:tcW w:type="dxa" w:w="352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13 Migraine (Conv.) → Diuretics (EGJ)</w:t>
            </w:r>
          </w:p>
        </w:tc>
        <w:tc>
          <w:tcPr>
            <w:tcW w:type="dxa" w:w="352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14 Migraine (EGJ) → Diuretics (Conv.)</w:t>
            </w:r>
          </w:p>
        </w:tc>
      </w:tr>
      <w:tr>
        <w:trPr>
          <w:cantSplit/>
        </w:trPr>
        <w:tc>
          <w:tcPr>
            <w:tcW w:type="dxa" w:w="231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8 12:49–13:16</w:t>
            </w:r>
          </w:p>
        </w:tc>
        <w:tc>
          <w:tcPr>
            <w:tcW w:type="dxa" w:w="3524"/>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15 MTX (EGJ) → Onychomycosis (Conv.)</w:t>
            </w:r>
          </w:p>
        </w:tc>
        <w:tc>
          <w:tcPr>
            <w:tcW w:type="dxa" w:w="3524"/>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16 MTX (Conv.) → Onychomycosis (EGJ)</w:t>
            </w:r>
          </w:p>
        </w:tc>
      </w:tr>
    </w:tbl>
    <w:p>
      <w:pPr>
        <w:spacing w:after="60" w:line="20" w:lineRule="exact"/>
        <w:rPr>
          <w:sz w:val="2"/>
        </w:rPr>
      </w:pPr>
      <w:r>
        <w:rPr>
          <w:rFonts w:ascii="Arial" w:hAnsi="Arial" w:eastAsia="Arial" w:cs="Arial"/>
          <w:sz w:val="24"/>
          <w:szCs w:val="24"/>
        </w:rPr>
      </w:r>
      <w:r>
        <w:rPr>
          <w:sz w:val="24"/>
          <w:rFonts w:ascii="Arial" w:hAnsi="Arial" w:eastAsia="Arial" w:cs="Arial"/>
          <w:szCs w:val="24"/>
        </w:rPr>
      </w:r>
    </w:p>
    <w:p>
      <w:pPr>
        <w:spacing w:line="276" w:lineRule="auto" w:after="120"/>
      </w:pPr>
      <w:r>
        <w:rPr>
          <w:sz w:val="24"/>
          <w:rFonts w:ascii="Arial" w:hAnsi="Arial" w:eastAsia="Arial" w:cs="Arial"/>
          <w:szCs w:val="24"/>
        </w:rPr>
        <w:t>Each station has eight sessions, four per method. Each combination of station, method and first/second position has two sessions. The AI plays the doctor in the onychomycosis and migraine stations. In the diuretic and MTX stations, it plays the patient or family member specified by the School. If the trial run shows that reading or questionnaire completion takes longer, we will use 12 students in six 35-minute batches, from 09:40 to 13:10, leaving a 20-minute buffer. This choice will be made before the activity rather than shortening consultations on the day.</w:t>
      </w:r>
    </w:p>
    <w:p>
      <w:pPr>
        <w:pStyle w:val="Heading1"/>
        <w:pageBreakBefore w:val="0"/>
        <w:spacing w:line="276" w:lineRule="auto" w:after="120"/>
      </w:pPr>
      <w:r>
        <w:rPr>
          <w:rFonts w:ascii="Arial" w:hAnsi="Arial" w:eastAsia="Arial" w:cs="Arial"/>
          <w:sz w:val="26"/>
          <w:szCs w:val="26"/>
        </w:rPr>
        <w:t>6 Preparation and Responsibilities</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22"/>
        <w:gridCol w:w="3083"/>
        <w:gridCol w:w="3083"/>
        <w:gridCol w:w="1872"/>
      </w:tblGrid>
      <w:tr>
        <w:trPr>
          <w:cantSplit/>
          <w:tblHeader/>
        </w:trPr>
        <w:tc>
          <w:tcPr>
            <w:tcW w:type="dxa" w:w="1322"/>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Stage</w:t>
            </w:r>
          </w:p>
        </w:tc>
        <w:tc>
          <w:tcPr>
            <w:tcW w:type="dxa" w:w="3083"/>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Research team</w:t>
            </w:r>
          </w:p>
        </w:tc>
        <w:tc>
          <w:tcPr>
            <w:tcW w:type="dxa" w:w="3083"/>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Professor Zhang or designated faculty member</w:t>
            </w:r>
          </w:p>
        </w:tc>
        <w:tc>
          <w:tcPr>
            <w:tcW w:type="dxa" w:w="1872"/>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Students</w:t>
            </w:r>
          </w:p>
        </w:tc>
      </w:tr>
      <w:tr>
        <w:trPr>
          <w:cantSplit/>
        </w:trPr>
        <w:tc>
          <w:tcPr>
            <w:tcW w:type="dxa" w:w="132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5–6 October</w:t>
            </w:r>
          </w:p>
        </w:tc>
        <w:tc>
          <w:tcPr>
            <w:tcW w:type="dxa" w:w="308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Freeze both method versions, task sheets and allocations; trial all four stations; prepare anonymised records and the forms in this document.</w:t>
            </w:r>
          </w:p>
        </w:tc>
        <w:tc>
          <w:tcPr>
            <w:tcW w:type="dxa" w:w="308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Check that the original requirements have been transcribed correctly and clarify undefined consequences of corrections or system intervention. Use two trial records to measure form-completion time.</w:t>
            </w:r>
          </w:p>
        </w:tc>
        <w:tc>
          <w:tcPr>
            <w:tcW w:type="dxa" w:w="187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Read the study information and operating instructions beforehand. No answer script is required.</w:t>
            </w:r>
          </w:p>
        </w:tc>
      </w:tr>
      <w:tr>
        <w:trPr>
          <w:cantSplit/>
        </w:trPr>
        <w:tc>
          <w:tcPr>
            <w:tcW w:type="dxa" w:w="1322"/>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Morning of 7 October</w:t>
            </w:r>
          </w:p>
        </w:tc>
        <w:tc>
          <w:tcPr>
            <w:tcW w:type="dxa" w:w="308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Manage the two devices, reading periods, station changes and recordings. Provide technical assistance only, and record interruptions and prompts actually delivered.</w:t>
            </w:r>
          </w:p>
        </w:tc>
        <w:tc>
          <w:tcPr>
            <w:tcW w:type="dxa" w:w="308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Observe selected parts of the activity and note educational issues. There is no requirement to assess every consultation during the event.</w:t>
            </w:r>
          </w:p>
        </w:tc>
        <w:tc>
          <w:tcPr>
            <w:tcW w:type="dxa" w:w="1872"/>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Complete two different stations, asking questions, explaining and correcting naturally. Complete the questionnaire before viewing feedback.</w:t>
            </w:r>
          </w:p>
        </w:tc>
      </w:tr>
      <w:tr>
        <w:trPr>
          <w:cantSplit/>
        </w:trPr>
        <w:tc>
          <w:tcPr>
            <w:tcW w:type="dxa" w:w="132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8–10 October</w:t>
            </w:r>
          </w:p>
        </w:tc>
        <w:tc>
          <w:tcPr>
            <w:tcW w:type="dxa" w:w="308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Check and anonymise transcripts; provide audio locators; run both assessment methods and calculate the outcomes.</w:t>
            </w:r>
          </w:p>
        </w:tc>
        <w:tc>
          <w:tcPr>
            <w:tcW w:type="dxa" w:w="308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Complete Appendices A and B independently before viewing differences between the systems. Complete Appendix D on educational use.</w:t>
            </w:r>
          </w:p>
        </w:tc>
        <w:tc>
          <w:tcPr>
            <w:tcW w:type="dxa" w:w="187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Provide further comments voluntarily if requested. The original consultation record will not be altered.</w:t>
            </w:r>
          </w:p>
        </w:tc>
      </w:tr>
    </w:tbl>
    <w:p>
      <w:pPr>
        <w:spacing w:after="60" w:line="20" w:lineRule="exact"/>
        <w:rPr>
          <w:sz w:val="2"/>
        </w:rPr>
      </w:pPr>
      <w:r>
        <w:rPr>
          <w:rFonts w:ascii="Arial" w:hAnsi="Arial" w:eastAsia="Arial" w:cs="Arial"/>
          <w:sz w:val="24"/>
          <w:szCs w:val="24"/>
        </w:rPr>
      </w:r>
      <w:r>
        <w:rPr>
          <w:sz w:val="24"/>
          <w:rFonts w:ascii="Arial" w:hAnsi="Arial" w:eastAsia="Arial" w:cs="Arial"/>
          <w:szCs w:val="24"/>
        </w:rPr>
      </w:r>
    </w:p>
    <w:p>
      <w:pPr>
        <w:spacing w:line="276" w:lineRule="auto" w:after="120"/>
      </w:pPr>
      <w:r>
        <w:rPr>
          <w:rFonts w:ascii="Arial" w:hAnsi="Arial" w:eastAsia="Arial" w:cs="Arial"/>
          <w:sz w:val="24"/>
          <w:szCs w:val="24"/>
        </w:rPr>
        <w:t>Each consultation requires only one faculty reference assessment, against which both methods are compared; faculty need not assess the same student performance twice. Appendix A includes all five categories of role requirements. Each row asks for an utterance or timestamp and a brief justification. The research team may enter the locators beforehand but must not prefill faculty decisions. Neither the role form nor the assessment form requires faculty to enter graph nodes or programming codes.</w:t>
      </w:r>
    </w:p>
    <w:p>
      <w:pPr>
        <w:spacing w:line="276" w:lineRule="auto" w:after="120"/>
      </w:pPr>
      <w:r>
        <w:rPr>
          <w:rFonts w:ascii="Arial" w:hAnsi="Arial" w:eastAsia="Arial" w:cs="Arial"/>
          <w:sz w:val="24"/>
          <w:szCs w:val="24"/>
        </w:rPr>
        <w:t>If the primary faculty reviewer examines all 32 sessions, an estimated 7–10 minutes per session gives approximately 4–5.5 hours. Reviewing the 64 same-input role responses with item-level reasons, at an estimated 2–4 minutes each, adds approximately 2–4.5 hours. Including calibration and checks, full review is expected to require about 7–11 hours, spread over the days after the activity. These are workload estimates to be tested with two trial records, not an expectation that all review can be completed during the morning.</w:t>
      </w:r>
    </w:p>
    <w:p>
      <w:pPr>
        <w:spacing w:line="276" w:lineRule="auto" w:after="120"/>
      </w:pPr>
      <w:r>
        <w:rPr>
          <w:rFonts w:ascii="Arial" w:hAnsi="Arial" w:eastAsia="Arial" w:cs="Arial"/>
          <w:sz w:val="24"/>
          <w:szCs w:val="24"/>
        </w:rPr>
        <w:t>A minimum review plan better suited to the available resources is to preselect 16 sessions: one per student, four per station, two per method within each station, with balanced first/second positions. This yields eight live role records per method, 16 same-input response pairs and up to 64 assessment items. The estimated workload is 4–6 hours, with verbatim locators entered by the team to reduce searching. Other records will be retained but will not enter the faculty-referenced accuracy denominator. If a second faculty reviewer is available, a subset of eight sessions will also be preselected for independent reassessment.</w:t>
      </w:r>
      <w:hyperlink w:anchor="ref_R20">
        <w:r>
          <w:rPr>
            <w:color w:val="184E7B"/>
            <w:u w:val="single"/>
            <w:sz w:val="20"/>
            <w:rFonts w:ascii="Arial" w:hAnsi="Arial" w:eastAsia="Arial" w:cs="Arial"/>
            <w:szCs w:val="20"/>
          </w:rPr>
          <w:t>[12]</w:t>
        </w:r>
      </w:hyperlink>
      <w:r>
        <w:rPr>
          <w:rFonts w:ascii="Arial" w:hAnsi="Arial" w:eastAsia="Arial" w:cs="Arial"/>
          <w:sz w:val="24"/>
          <w:szCs w:val="24"/>
        </w:rPr>
      </w:r>
      <w:hyperlink w:anchor="ref_R29">
        <w:r>
          <w:rPr>
            <w:color w:val="184E7B"/>
            <w:u w:val="single"/>
            <w:sz w:val="20"/>
            <w:rFonts w:ascii="Arial" w:hAnsi="Arial" w:eastAsia="Arial" w:cs="Arial"/>
            <w:szCs w:val="20"/>
          </w:rPr>
          <w:t>[14]</w:t>
        </w:r>
      </w:hyperlink>
      <w:r>
        <w:rPr>
          <w:rFonts w:ascii="Arial" w:hAnsi="Arial" w:eastAsia="Arial" w:cs="Arial"/>
          <w:sz w:val="24"/>
          <w:szCs w:val="24"/>
        </w:rPr>
      </w:r>
    </w:p>
    <w:p>
      <w:pPr>
        <w:pStyle w:val="Heading2"/>
        <w:spacing w:line="276" w:lineRule="auto" w:after="120"/>
      </w:pPr>
      <w:r>
        <w:rPr>
          <w:rFonts w:ascii="Arial" w:hAnsi="Arial" w:eastAsia="Arial" w:cs="Arial"/>
          <w:sz w:val="24"/>
          <w:szCs w:val="24"/>
        </w:rPr>
        <w:t>6.1 Standard Student Instructions and Required Records</w:t>
      </w:r>
    </w:p>
    <w:p>
      <w:pPr>
        <w:spacing w:line="276" w:lineRule="auto" w:after="120"/>
      </w:pPr>
      <w:r>
        <w:rPr>
          <w:rFonts w:ascii="Arial" w:hAnsi="Arial" w:eastAsia="Arial" w:cs="Arial"/>
          <w:sz w:val="24"/>
          <w:szCs w:val="24"/>
        </w:rPr>
        <w:t>Students will first read the station task and permitted materials, then conduct the consultation as they normally would. The activity will not count towards course grades, and feedback will not be shown between stations. Research assistants will not supply pharmacy answers. Device assistance and pharmacy prompts from faculty will be recorded separately. Students must not enter their names, student numbers or real patient details. Withdrawal and the use of recordings will follow the information approved by the School.</w:t>
      </w:r>
      <w:hyperlink w:anchor="ref_R01">
        <w:r>
          <w:rPr>
            <w:color w:val="184E7B"/>
            <w:u w:val="single"/>
            <w:sz w:val="20"/>
            <w:rFonts w:ascii="Arial" w:hAnsi="Arial" w:eastAsia="Arial" w:cs="Arial"/>
            <w:szCs w:val="20"/>
          </w:rPr>
          <w:t>[2]</w:t>
        </w:r>
      </w:hyperlink>
      <w:r>
        <w:rPr>
          <w:rFonts w:ascii="Arial" w:hAnsi="Arial" w:eastAsia="Arial" w:cs="Arial"/>
          <w:sz w:val="24"/>
          <w:szCs w:val="24"/>
        </w:rPr>
      </w:r>
    </w:p>
    <w:p>
      <w:pPr>
        <w:spacing w:line="276" w:lineRule="auto" w:after="120"/>
      </w:pPr>
      <w:r>
        <w:rPr>
          <w:rFonts w:ascii="Arial" w:hAnsi="Arial" w:eastAsia="Arial" w:cs="Arial"/>
          <w:sz w:val="24"/>
          <w:szCs w:val="24"/>
        </w:rPr>
        <w:t>The records must include participant codes; station and method order; material and model versions; original audio; speaker identities and timestamps; actual responses and prompts; technical interruptions; input snapshots and original assessment outputs; faculty forms; and questionnaires. Draft prompts must be stored separately from prompts actually played. A consultation shortened by technical failure will be recorded as a system interruption. Unanswered items caused by that interruption must not automatically be treated as the student's clinical errors.</w:t>
      </w:r>
    </w:p>
    <w:p>
      <w:pPr>
        <w:pStyle w:val="Heading1"/>
        <w:pageBreakBefore w:val="0"/>
        <w:spacing w:line="276" w:lineRule="auto" w:after="120"/>
      </w:pPr>
      <w:r>
        <w:rPr>
          <w:rFonts w:ascii="Arial" w:hAnsi="Arial" w:eastAsia="Arial" w:cs="Arial"/>
          <w:sz w:val="26"/>
          <w:szCs w:val="26"/>
        </w:rPr>
        <w:t>7 Calculating Role Consistency from the Review Form</w:t>
      </w:r>
    </w:p>
    <w:p>
      <w:pPr>
        <w:spacing w:line="276" w:lineRule="auto" w:after="120"/>
      </w:pPr>
      <w:r>
        <w:rPr>
          <w:rFonts w:ascii="Arial" w:hAnsi="Arial" w:eastAsia="Arial" w:cs="Arial"/>
          <w:sz w:val="24"/>
          <w:szCs w:val="24"/>
        </w:rPr>
        <w:t>The five categories in Appendix A check whether required answers are complete, case facts remain consistent, disclosure stays within permissions, information has the correct source and timing, and specified prompts comply with the rules. Faculty select one judgement per row and provide the relevant utterance or timestamp and justification. Not providing optional information is not an omission; a student's incorrect answer is not automatically a role error.</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7"/>
        <w:gridCol w:w="7433"/>
      </w:tblGrid>
      <w:tr>
        <w:trPr>
          <w:cantSplit/>
          <w:tblHeader/>
        </w:trPr>
        <w:tc>
          <w:tcPr>
            <w:tcW w:type="dxa" w:w="1927"/>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Faculty judgement</w:t>
            </w:r>
          </w:p>
        </w:tc>
        <w:tc>
          <w:tcPr>
            <w:tcW w:type="dxa" w:w="7433"/>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Research-team coding</w:t>
            </w:r>
          </w:p>
        </w:tc>
      </w:tr>
      <w:tr>
        <w:trPr>
          <w:cantSplit/>
        </w:trPr>
        <w:tc>
          <w:tcPr>
            <w:tcW w:type="dxa" w:w="1927"/>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Compliant</w:t>
            </w:r>
          </w:p>
        </w:tc>
        <w:tc>
          <w:tcPr>
            <w:tcW w:type="dxa" w:w="743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The item passes. The justification explains why it meets the original requirement.</w:t>
            </w:r>
          </w:p>
        </w:tc>
      </w:tr>
      <w:tr>
        <w:trPr>
          <w:cantSplit/>
        </w:trPr>
        <w:tc>
          <w:tcPr>
            <w:tcW w:type="dxa" w:w="1927"/>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Non-compliant</w:t>
            </w:r>
          </w:p>
        </w:tc>
        <w:tc>
          <w:tcPr>
            <w:tcW w:type="dxa" w:w="743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The item fails. Record the specific error; list all issues if several occur within the same row.</w:t>
            </w:r>
          </w:p>
        </w:tc>
      </w:tr>
      <w:tr>
        <w:trPr>
          <w:cantSplit/>
        </w:trPr>
        <w:tc>
          <w:tcPr>
            <w:tcW w:type="dxa" w:w="1927"/>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Not applicable to this excerpt</w:t>
            </w:r>
          </w:p>
        </w:tc>
        <w:tc>
          <w:tcPr>
            <w:tcW w:type="dxa" w:w="743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The condition was not triggered within the specified record, so the behaviour was not required. Explain why the category is not applicable.</w:t>
            </w:r>
          </w:p>
        </w:tc>
      </w:tr>
      <w:tr>
        <w:trPr>
          <w:cantSplit/>
        </w:trPr>
        <w:tc>
          <w:tcPr>
            <w:tcW w:type="dxa" w:w="1927"/>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Cannot determine</w:t>
            </w:r>
          </w:p>
        </w:tc>
        <w:tc>
          <w:tcPr>
            <w:tcW w:type="dxa" w:w="743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Check the audio, preceding dialogue or School rules first. If the judgement remains unresolved, report it separately rather than recoding it as a pass.</w:t>
            </w:r>
          </w:p>
        </w:tc>
      </w:tr>
    </w:tbl>
    <w:p>
      <w:pPr>
        <w:spacing w:after="60" w:line="20" w:lineRule="exact"/>
        <w:rPr>
          <w:sz w:val="2"/>
        </w:rPr>
      </w:pPr>
      <w:r>
        <w:rPr>
          <w:rFonts w:ascii="Arial" w:hAnsi="Arial" w:eastAsia="Arial" w:cs="Arial"/>
          <w:sz w:val="24"/>
          <w:szCs w:val="24"/>
        </w:rPr>
      </w:r>
      <w:r>
        <w:rPr>
          <w:sz w:val="24"/>
          <w:rFonts w:ascii="Arial" w:hAnsi="Arial" w:eastAsia="Arial" w:cs="Arial"/>
          <w:szCs w:val="24"/>
        </w:rPr>
      </w:r>
    </w:p>
    <w:p>
      <w:pPr>
        <w:spacing w:line="276" w:lineRule="auto" w:after="120"/>
      </w:pPr>
      <w:r>
        <w:rPr>
          <w:rFonts w:ascii="Arial" w:hAnsi="Arial" w:eastAsia="Arial" w:cs="Arial"/>
          <w:sz w:val="24"/>
          <w:szCs w:val="24"/>
        </w:rPr>
        <w:t>A role record receives 1 only when all five categories have been reviewed and every applicable category is compliant. Any non-compliant category gives 0. If an unresolved 'cannot determine' judgement remains and no explicit failure has been identified, the record remains pending review. A model failure to produce a valid response receives 0. An empty record in which none of the five categories applies is not a valid role test and will be reported separately.</w:t>
      </w:r>
    </w:p>
    <w:p>
      <w:pPr>
        <w:spacing w:line="276" w:lineRule="auto" w:after="120"/>
      </w:pPr>
      <w:r>
        <w:rPr>
          <w:rFonts w:ascii="Arial" w:hAnsi="Arial" w:eastAsia="Arial" w:cs="Arial"/>
          <w:sz w:val="24"/>
          <w:szCs w:val="24"/>
        </w:rPr>
        <w:t>Live consultation role compliance rate = compliant consultations ÷ consultations with a final faculty judgement × 100%. We plan 16 sessions for conventional AI and 16 for EGJ, with a separate rate for each. For diagnosis of specific issues, we will also report compliant/applicable counts for each of the five categories. Their percentages will not be averaged to form the primary outcome.</w:t>
      </w:r>
    </w:p>
    <w:p>
      <w:pPr>
        <w:spacing w:line="276" w:lineRule="auto" w:after="120"/>
      </w:pPr>
      <w:r>
        <w:rPr>
          <w:rFonts w:ascii="Arial" w:hAnsi="Arial" w:eastAsia="Arial" w:cs="Arial"/>
          <w:sz w:val="24"/>
          <w:szCs w:val="24"/>
        </w:rPr>
        <w:t>Same-input first-response compliance rate = compliant responses ÷ fixed input positions with a final faculty judgement × 100%. We plan 32 responses per method. This measures the first response at those 32 selected positions, not compliance across every turn, and will be reported separately from whole-consultation compliance.</w:t>
      </w:r>
    </w:p>
    <w:p>
      <w:pPr>
        <w:pStyle w:val="Heading2"/>
        <w:spacing w:line="276" w:lineRule="auto" w:after="120"/>
      </w:pPr>
      <w:r>
        <w:rPr>
          <w:rFonts w:ascii="Arial" w:hAnsi="Arial" w:eastAsia="Arial" w:cs="Arial"/>
          <w:sz w:val="24"/>
          <w:szCs w:val="24"/>
        </w:rPr>
        <w:t>7.1 Worked example</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74"/>
        <w:gridCol w:w="1706"/>
        <w:gridCol w:w="3579"/>
      </w:tblGrid>
      <w:tr>
        <w:trPr>
          <w:cantSplit/>
          <w:tblHeader/>
        </w:trPr>
        <w:tc>
          <w:tcPr>
            <w:tcW w:type="dxa" w:w="4074"/>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Faculty judgements across the five categories</w:t>
            </w:r>
          </w:p>
        </w:tc>
        <w:tc>
          <w:tcPr>
            <w:tcW w:type="dxa" w:w="1706"/>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Record-level outcome</w:t>
            </w:r>
          </w:p>
        </w:tc>
        <w:tc>
          <w:tcPr>
            <w:tcW w:type="dxa" w:w="3579"/>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Reason</w:t>
            </w:r>
          </w:p>
        </w:tc>
      </w:tr>
      <w:tr>
        <w:trPr>
          <w:cantSplit/>
        </w:trPr>
        <w:tc>
          <w:tcPr>
            <w:tcW w:type="dxa" w:w="407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Compliant, compliant, non-compliant, compliant, not applicable</w:t>
            </w:r>
          </w:p>
        </w:tc>
        <w:tc>
          <w:tcPr>
            <w:tcW w:type="dxa" w:w="1706"/>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0</w:t>
            </w:r>
          </w:p>
        </w:tc>
        <w:tc>
          <w:tcPr>
            <w:tcW w:type="dxa" w:w="3579"/>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Three categories are compliant, but unauthorised disclosure occurred. A result of 3/4 does not make the record compliant overall.</w:t>
            </w:r>
          </w:p>
        </w:tc>
      </w:tr>
      <w:tr>
        <w:trPr>
          <w:cantSplit/>
        </w:trPr>
        <w:tc>
          <w:tcPr>
            <w:tcW w:type="dxa" w:w="4074"/>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Compliant, compliant, compliant, compliant, not applicable</w:t>
            </w:r>
          </w:p>
        </w:tc>
        <w:tc>
          <w:tcPr>
            <w:tcW w:type="dxa" w:w="1706"/>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1</w:t>
            </w:r>
          </w:p>
        </w:tc>
        <w:tc>
          <w:tcPr>
            <w:tcW w:type="dxa" w:w="3579"/>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All applicable requirements are met. No penalty applies when the conditions for a designated prompt were not triggered.</w:t>
            </w:r>
          </w:p>
        </w:tc>
      </w:tr>
      <w:tr>
        <w:trPr>
          <w:cantSplit/>
        </w:trPr>
        <w:tc>
          <w:tcPr>
            <w:tcW w:type="dxa" w:w="407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Compliant, compliant, compliant, cannot determine, not applicable</w:t>
            </w:r>
          </w:p>
        </w:tc>
        <w:tc>
          <w:tcPr>
            <w:tcW w:type="dxa" w:w="1706"/>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Pending verification</w:t>
            </w:r>
          </w:p>
        </w:tc>
        <w:tc>
          <w:tcPr>
            <w:tcW w:type="dxa" w:w="3579"/>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Check the source of the information before assigning 1; an answer that appears plausible is not sufficient.</w:t>
            </w:r>
          </w:p>
        </w:tc>
      </w:tr>
    </w:tbl>
    <w:p>
      <w:pPr>
        <w:spacing w:after="60" w:line="20" w:lineRule="exact"/>
        <w:rPr>
          <w:sz w:val="2"/>
        </w:rPr>
      </w:pPr>
      <w:r>
        <w:rPr>
          <w:rFonts w:ascii="Arial" w:hAnsi="Arial" w:eastAsia="Arial" w:cs="Arial"/>
          <w:sz w:val="24"/>
          <w:szCs w:val="24"/>
        </w:rPr>
      </w:r>
      <w:r>
        <w:rPr>
          <w:sz w:val="24"/>
          <w:rFonts w:ascii="Arial" w:hAnsi="Arial" w:eastAsia="Arial" w:cs="Arial"/>
          <w:szCs w:val="24"/>
        </w:rPr>
      </w:r>
    </w:p>
    <w:p>
      <w:pPr>
        <w:spacing w:line="276" w:lineRule="auto" w:after="120"/>
      </w:pPr>
      <w:r>
        <w:rPr>
          <w:rFonts w:ascii="Arial" w:hAnsi="Arial" w:eastAsia="Arial" w:cs="Arial"/>
          <w:sz w:val="24"/>
          <w:szCs w:val="24"/>
        </w:rPr>
        <w:t>Example: of 32 fixed pairs of responses, the same two shared inputs have insufficient preceding context to establish a reference assessment. Report these as "2/32 pending verification" and use the remaining 30 pairs for the primary comparison. If 24 conventional AI responses and 28 EGJ responses are compliant, the rates are 80.0% and 93.3%, a difference of 13.3 percentage points. Model failures remain in the denominator of 30 and receive 0. These numbers illustrate the calculation only. Also conduct a conservative analysis treating all records pending verification as failures.</w:t>
      </w:r>
    </w:p>
    <w:p>
      <w:pPr>
        <w:pStyle w:val="Heading1"/>
        <w:pageBreakBefore w:val="0"/>
        <w:spacing w:line="276" w:lineRule="auto" w:after="120"/>
      </w:pPr>
      <w:r>
        <w:rPr>
          <w:rFonts w:ascii="Arial" w:hAnsi="Arial" w:eastAsia="Arial" w:cs="Arial"/>
          <w:sz w:val="26"/>
          <w:szCs w:val="26"/>
        </w:rPr>
        <w:t>8 Calculating assessment accuracy from the faculty forms</w:t>
      </w:r>
    </w:p>
    <w:p>
      <w:pPr>
        <w:spacing w:line="276" w:lineRule="auto" w:after="120"/>
      </w:pPr>
      <w:r>
        <w:rPr>
          <w:rFonts w:ascii="Arial" w:hAnsi="Arial" w:eastAsia="Arial" w:cs="Arial"/>
          <w:sz w:val="24"/>
          <w:szCs w:val="24"/>
        </w:rPr>
        <w:t>Appendix B provides a form for each of the four stations, with the requirements already entered. For each item, the faculty assessor records completion status, the consequence specified in the original rubric, any error or correction, whether review is needed, and the supporting quotation and reason. The faculty reference assessment is completed and locked before the assessor sees results from conventional AI or EGJ. The research team maps the fields and calculates agreement; faculty assessors do not need to calculate it themselves.</w:t>
      </w:r>
      <w:hyperlink w:anchor="ref_R29">
        <w:r>
          <w:rPr>
            <w:color w:val="184E7B"/>
            <w:u w:val="single"/>
            <w:sz w:val="20"/>
            <w:rFonts w:ascii="Arial" w:hAnsi="Arial" w:eastAsia="Arial" w:cs="Arial"/>
            <w:szCs w:val="20"/>
          </w:rPr>
          <w:t>[14]</w:t>
        </w:r>
      </w:hyperlink>
      <w:r>
        <w:rPr>
          <w:rFonts w:ascii="Arial" w:hAnsi="Arial" w:eastAsia="Arial" w:cs="Arial"/>
          <w:sz w:val="24"/>
          <w:szCs w:val="24"/>
        </w:rPr>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14"/>
        <w:gridCol w:w="5946"/>
      </w:tblGrid>
      <w:tr>
        <w:trPr>
          <w:cantSplit/>
          <w:tblHeader/>
        </w:trPr>
        <w:tc>
          <w:tcPr>
            <w:tcW w:type="dxa" w:w="3414"/>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What the faculty assessor records</w:t>
            </w:r>
          </w:p>
        </w:tc>
        <w:tc>
          <w:tcPr>
            <w:tcW w:type="dxa" w:w="5946"/>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What constitutes a correct system decision</w:t>
            </w:r>
          </w:p>
        </w:tc>
      </w:tr>
      <w:tr>
        <w:trPr>
          <w:cantSplit/>
        </w:trPr>
        <w:tc>
          <w:tcPr>
            <w:tcW w:type="dxa" w:w="341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Completion status: met, partially met, not met, not applicable, or cannot determine</w:t>
            </w:r>
          </w:p>
        </w:tc>
        <w:tc>
          <w:tcPr>
            <w:tcW w:type="dxa" w:w="5946"/>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The system must select the same status as the faculty assessor. Not applicable means that the triggering condition did not arise; an unanswered requirement is usually not met. A prohibition can be met when the prohibited behaviour did not occur.</w:t>
            </w:r>
          </w:p>
        </w:tc>
      </w:tr>
      <w:tr>
        <w:trPr>
          <w:cantSplit/>
        </w:trPr>
        <w:tc>
          <w:tcPr>
            <w:tcW w:type="dxa" w:w="3414"/>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Item-level consequence: no additional consequence, or the original rubric's grade cap, downgrade, or fail decision</w:t>
            </w:r>
          </w:p>
        </w:tc>
        <w:tc>
          <w:tcPr>
            <w:tcW w:type="dxa" w:w="5946"/>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The system must also apply the correct consequence. Recognising a correct answer but omitting a C+ grade cap is not an exact match. Partial credit follows the original rubric; partially met must not automatically be converted to zero marks.</w:t>
            </w:r>
          </w:p>
        </w:tc>
      </w:tr>
      <w:tr>
        <w:trPr>
          <w:cantSplit/>
        </w:trPr>
        <w:tc>
          <w:tcPr>
            <w:tcW w:type="dxa" w:w="341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Error status: no error, unresolved error, or corrected error with the history retained</w:t>
            </w:r>
          </w:p>
        </w:tc>
        <w:tc>
          <w:tcPr>
            <w:tcW w:type="dxa" w:w="5946"/>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The system must distinguish the current answer from an earlier error. Correction does not automatically remove a penalty; the original policy determines the consequence.</w:t>
            </w:r>
          </w:p>
        </w:tc>
      </w:tr>
      <w:tr>
        <w:trPr>
          <w:cantSplit/>
        </w:trPr>
        <w:tc>
          <w:tcPr>
            <w:tcW w:type="dxa" w:w="3414"/>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Review: not required or required, with a reason</w:t>
            </w:r>
          </w:p>
        </w:tc>
        <w:tc>
          <w:tcPr>
            <w:tcW w:type="dxa" w:w="5946"/>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The system must correctly identify cases requiring review, such as incomplete evidence, an unresolved policy, or unauthorised intervention by the AI.</w:t>
            </w:r>
          </w:p>
        </w:tc>
      </w:tr>
    </w:tbl>
    <w:p>
      <w:pPr>
        <w:spacing w:after="60" w:line="20" w:lineRule="exact"/>
        <w:rPr>
          <w:sz w:val="2"/>
        </w:rPr>
      </w:pPr>
      <w:r>
        <w:rPr>
          <w:rFonts w:ascii="Arial" w:hAnsi="Arial" w:eastAsia="Arial" w:cs="Arial"/>
          <w:sz w:val="24"/>
          <w:szCs w:val="24"/>
        </w:rPr>
      </w:r>
      <w:r>
        <w:rPr>
          <w:sz w:val="24"/>
          <w:rFonts w:ascii="Arial" w:hAnsi="Arial" w:eastAsia="Arial" w:cs="Arial"/>
          <w:szCs w:val="24"/>
        </w:rPr>
      </w:r>
    </w:p>
    <w:p>
      <w:pPr>
        <w:spacing w:line="276" w:lineRule="auto" w:after="120"/>
      </w:pPr>
      <w:r>
        <w:rPr>
          <w:rFonts w:ascii="Arial" w:hAnsi="Arial" w:eastAsia="Arial" w:cs="Arial"/>
          <w:sz w:val="24"/>
          <w:szCs w:val="24"/>
        </w:rPr>
        <w:t>An assessment item receives 1 only when its completion status and all prespecified applicable fields—consequence, error status, and review decision—match the faculty reference assessment. Any mismatch or absence of a valid output receives 0. Not applicable is a definite conditional decision and remains a valid state in the comparison; its frequency is reported separately, and it does not add to the student's grade. If any field to be compared lacks a reference assessment, the entire item is jointly marked pending verification for both methods; known fields must not be selectively retained. Cases requiring review under an established rule can remain in the analysis. An unresolved clinical policy, however, cannot be presented as validated simply because the system requests review.</w:t>
      </w:r>
    </w:p>
    <w:p>
      <w:pPr>
        <w:spacing w:line="276" w:lineRule="auto" w:after="120"/>
      </w:pPr>
      <w:r>
        <w:rPr>
          <w:rFonts w:ascii="Arial" w:hAnsi="Arial" w:eastAsia="Arial" w:cs="Arial"/>
          <w:sz w:val="24"/>
          <w:szCs w:val="24"/>
        </w:rPr>
        <w:t>Exact agreement in assessment decisions = core items matching the faculty reference assessment in full ÷ core items with a shared faculty reference assessment for both methods × 100%. There are at most 128 items (32 sessions × 4 items), with the same denominator for each method. Also report the proportion of sessions in which all four items match and agreement on the station-level critical consequences recorded at the end of the form. This four-item form is not the Faculty's complete assessment rubric and must not be used to produce an official total station score or pass rate.</w:t>
      </w:r>
    </w:p>
    <w:p>
      <w:pPr>
        <w:pStyle w:val="Heading2"/>
        <w:spacing w:line="276" w:lineRule="auto" w:after="120"/>
      </w:pPr>
      <w:r>
        <w:rPr>
          <w:rFonts w:ascii="Arial" w:hAnsi="Arial" w:eastAsia="Arial" w:cs="Arial"/>
          <w:sz w:val="24"/>
          <w:szCs w:val="24"/>
        </w:rPr>
        <w:t>8.1 Three common calculation errors</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74"/>
        <w:gridCol w:w="3138"/>
        <w:gridCol w:w="2147"/>
      </w:tblGrid>
      <w:tr>
        <w:trPr>
          <w:cantSplit/>
          <w:tblHeader/>
        </w:trPr>
        <w:tc>
          <w:tcPr>
            <w:tcW w:type="dxa" w:w="4074"/>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Faculty reference assessment</w:t>
            </w:r>
          </w:p>
        </w:tc>
        <w:tc>
          <w:tcPr>
            <w:tcW w:type="dxa" w:w="313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System output</w:t>
            </w:r>
          </w:p>
        </w:tc>
        <w:tc>
          <w:tcPr>
            <w:tcW w:type="dxa" w:w="2147"/>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Agreement score</w:t>
            </w:r>
          </w:p>
        </w:tc>
      </w:tr>
      <w:tr>
        <w:trPr>
          <w:cantSplit/>
        </w:trPr>
        <w:tc>
          <w:tcPr>
            <w:tcW w:type="dxa" w:w="407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The onychomycosis risk is correctly identified after a designated prompt: met, C+ grade cap, no error, no review required</w:t>
            </w:r>
          </w:p>
        </w:tc>
        <w:tc>
          <w:tcPr>
            <w:tcW w:type="dxa" w:w="313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Records only met and omits the grade cap</w:t>
            </w:r>
          </w:p>
        </w:tc>
        <w:tc>
          <w:tcPr>
            <w:tcW w:type="dxa" w:w="2147"/>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0: completion status matches, but the consequence does not.</w:t>
            </w:r>
          </w:p>
        </w:tc>
      </w:tr>
      <w:tr>
        <w:trPr>
          <w:cantSplit/>
        </w:trPr>
        <w:tc>
          <w:tcPr>
            <w:tcW w:type="dxa" w:w="4074"/>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The student actually advises doubling a missed MTX dose and does not correct it: not met, automatic fail, unresolved error</w:t>
            </w:r>
          </w:p>
        </w:tc>
        <w:tc>
          <w:tcPr>
            <w:tcW w:type="dxa" w:w="3138"/>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Records not met and offers improvement advice, but does not apply the fail decision</w:t>
            </w:r>
          </w:p>
        </w:tc>
        <w:tc>
          <w:tcPr>
            <w:tcW w:type="dxa" w:w="2147"/>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0: the original rubric's critical safety consequence is omitted.</w:t>
            </w:r>
          </w:p>
        </w:tc>
      </w:tr>
      <w:tr>
        <w:trPr>
          <w:cantSplit/>
        </w:trPr>
        <w:tc>
          <w:tcPr>
            <w:tcW w:type="dxa" w:w="407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The student never gives the correct answer: not met, with the correct consequence from the original rubric</w:t>
            </w:r>
          </w:p>
        </w:tc>
        <w:tc>
          <w:tcPr>
            <w:tcW w:type="dxa" w:w="313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Also records not met and applies the same consequence</w:t>
            </w:r>
          </w:p>
        </w:tc>
        <w:tc>
          <w:tcPr>
            <w:tcW w:type="dxa" w:w="2147"/>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1: the student's answer is wrong, but the system's assessment is correct.</w:t>
            </w:r>
          </w:p>
        </w:tc>
      </w:tr>
    </w:tbl>
    <w:p>
      <w:pPr>
        <w:spacing w:after="60" w:line="20" w:lineRule="exact"/>
        <w:rPr>
          <w:sz w:val="2"/>
        </w:rPr>
      </w:pPr>
      <w:r>
        <w:rPr>
          <w:rFonts w:ascii="Arial" w:hAnsi="Arial" w:eastAsia="Arial" w:cs="Arial"/>
          <w:sz w:val="24"/>
          <w:szCs w:val="24"/>
        </w:rPr>
      </w:r>
      <w:r>
        <w:rPr>
          <w:sz w:val="24"/>
          <w:rFonts w:ascii="Arial" w:hAnsi="Arial" w:eastAsia="Arial" w:cs="Arial"/>
          <w:szCs w:val="24"/>
        </w:rPr>
      </w:r>
    </w:p>
    <w:p>
      <w:pPr>
        <w:spacing w:line="276" w:lineRule="auto" w:after="120"/>
      </w:pPr>
      <w:r>
        <w:rPr>
          <w:rFonts w:ascii="Arial" w:hAnsi="Arial" w:eastAsia="Arial" w:cs="Arial"/>
          <w:sz w:val="24"/>
          <w:szCs w:val="24"/>
        </w:rPr>
        <w:t>Example: if conventional AI matches fully on 100 of 128 items and EGJ on 116, their rates are 78.1% and 90.6%, a difference of 12.5 percentage points. If four items lack a reference assessment, recompute each method's number of matches within the same 124 valid items and divide by 124. The numerators of 100 and 116 cannot simply be retained, nor may unclear items be removed separately for each method. All numbers in these examples are illustrative, not observed results.</w:t>
      </w:r>
    </w:p>
    <w:p>
      <w:pPr>
        <w:spacing w:line="276" w:lineRule="auto" w:after="120"/>
      </w:pPr>
      <w:r>
        <w:rPr>
          <w:sz w:val="24"/>
          <w:rFonts w:ascii="Arial" w:hAnsi="Arial" w:eastAsia="Arial" w:cs="Arial"/>
          <w:szCs w:val="24"/>
        </w:rPr>
        <w:t>Partially met means that required content is incomplete; it does not automatically mean half credit. A single prohibition will usually be either met or not met, and other correct points cannot compensate for dangerous advice. If no alternative drug is recommended in the migraine station, the allergy check associated with recommending an alternative may be not applicable, while the alternative-treatment requirement remains not met. Report the number of not-applicable decisions and the accuracy after excluding them, so that untriggered conditions do not inflate agreement.</w:t>
      </w:r>
    </w:p>
    <w:p>
      <w:pPr>
        <w:pStyle w:val="Heading1"/>
        <w:pageBreakBefore w:val="0"/>
        <w:spacing w:line="276" w:lineRule="auto" w:after="120"/>
      </w:pPr>
      <w:r>
        <w:rPr>
          <w:rFonts w:ascii="Arial" w:hAnsi="Arial" w:eastAsia="Arial" w:cs="Arial"/>
          <w:sz w:val="26"/>
          <w:szCs w:val="26"/>
        </w:rPr>
        <w:t>9 Simulated tests and statistical analysis</w:t>
      </w:r>
    </w:p>
    <w:p>
      <w:pPr>
        <w:spacing w:line="276" w:lineRule="auto" w:after="120"/>
      </w:pPr>
      <w:r>
        <w:rPr>
          <w:rFonts w:ascii="Arial" w:hAnsi="Arial" w:eastAsia="Arial" w:cs="Arial"/>
          <w:sz w:val="24"/>
          <w:szCs w:val="24"/>
        </w:rPr>
        <w:t>Live consultations may not contain prompts or corrections. The research team will therefore prepare 16 short dialogues, four per station, to test source attribution, prompt consequences, medication-specific conditions, and error correction. Each dialogue contains approximately 6–10 utterances. A faculty assessor checks the specified role action and one assessment decision. Students do not read these scripts, and simulated results are not included in the live-study denominator.</w:t>
      </w:r>
      <w:hyperlink w:anchor="ref_R14">
        <w:r>
          <w:rPr>
            <w:color w:val="184E7B"/>
            <w:u w:val="single"/>
            <w:sz w:val="20"/>
            <w:rFonts w:ascii="Arial" w:hAnsi="Arial" w:eastAsia="Arial" w:cs="Arial"/>
            <w:szCs w:val="20"/>
          </w:rPr>
          <w:t>[6]</w:t>
        </w:r>
      </w:hyperlink>
      <w:r>
        <w:rPr>
          <w:rFonts w:ascii="Arial" w:hAnsi="Arial" w:eastAsia="Arial" w:cs="Arial"/>
          <w:sz w:val="24"/>
          <w:szCs w:val="24"/>
        </w:rPr>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488"/>
      </w:tblGrid>
      <w:tr>
        <w:trPr>
          <w:cantSplit/>
          <w:tblHeader/>
        </w:trPr>
        <w:tc>
          <w:tcPr>
            <w:tcW w:type="dxa" w:w="1872"/>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Test type</w:t>
            </w:r>
          </w:p>
        </w:tc>
        <w:tc>
          <w:tcPr>
            <w:tcW w:type="dxa" w:w="748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Procedure</w:t>
            </w:r>
          </w:p>
        </w:tc>
      </w:tr>
      <w:tr>
        <w:trPr>
          <w:cantSplit/>
        </w:trPr>
        <w:tc>
          <w:tcPr>
            <w:tcW w:type="dxa" w:w="187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Source attribution</w:t>
            </w:r>
          </w:p>
        </w:tc>
        <w:tc>
          <w:tcPr>
            <w:tcW w:type="dxa" w:w="748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The student says that MTX is taken daily, and the patient repeats this. Check whether the role corrects the student without authorisation and whether the assessment incorrectly counts the patient's words as a correct student answer.</w:t>
            </w:r>
          </w:p>
        </w:tc>
      </w:tr>
      <w:tr>
        <w:trPr>
          <w:cantSplit/>
        </w:trPr>
        <w:tc>
          <w:tcPr>
            <w:tcW w:type="dxa" w:w="1872"/>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Prompt consequences</w:t>
            </w:r>
          </w:p>
        </w:tc>
        <w:tc>
          <w:tcPr>
            <w:tcW w:type="dxa" w:w="7488"/>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A designated onychomycosis prompt is actually delivered, after which the student answers correctly. Use an undelivered prompt draft and ordinary clarification as negative controls.</w:t>
            </w:r>
          </w:p>
        </w:tc>
      </w:tr>
      <w:tr>
        <w:trPr>
          <w:cantSplit/>
        </w:trPr>
        <w:tc>
          <w:tcPr>
            <w:tcW w:type="dxa" w:w="187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Medication-specific conditions</w:t>
            </w:r>
          </w:p>
        </w:tc>
        <w:tc>
          <w:tcPr>
            <w:tcW w:type="dxa" w:w="748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A dialogue discusses different regimens for two drugs. Check for doses assigned to the wrong drug or omitted case-specific conditions. The clinical reference remains the Faculty's existing materials.</w:t>
            </w:r>
          </w:p>
        </w:tc>
      </w:tr>
      <w:tr>
        <w:trPr>
          <w:cantSplit/>
        </w:trPr>
        <w:tc>
          <w:tcPr>
            <w:tcW w:type="dxa" w:w="1872"/>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Error correction</w:t>
            </w:r>
          </w:p>
        </w:tc>
        <w:tc>
          <w:tcPr>
            <w:tcW w:type="dxa" w:w="7488"/>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The student first gives the wrong frequency and then corrects it. Check the current status, retention of the error history, and the Faculty's prescribed consequence. Request review if the policy is not explicit.</w:t>
            </w:r>
          </w:p>
        </w:tc>
      </w:tr>
    </w:tbl>
    <w:p>
      <w:pPr>
        <w:spacing w:after="60" w:line="20" w:lineRule="exact"/>
        <w:rPr>
          <w:sz w:val="2"/>
        </w:rPr>
      </w:pPr>
      <w:r>
        <w:rPr>
          <w:rFonts w:ascii="Arial" w:hAnsi="Arial" w:eastAsia="Arial" w:cs="Arial"/>
          <w:sz w:val="24"/>
          <w:szCs w:val="24"/>
        </w:rPr>
      </w:r>
      <w:r>
        <w:rPr>
          <w:sz w:val="24"/>
          <w:rFonts w:ascii="Arial" w:hAnsi="Arial" w:eastAsia="Arial" w:cs="Arial"/>
          <w:szCs w:val="24"/>
        </w:rPr>
      </w:r>
    </w:p>
    <w:p>
      <w:pPr>
        <w:spacing w:line="276" w:lineRule="auto" w:after="120"/>
      </w:pPr>
      <w:r>
        <w:rPr>
          <w:rFonts w:ascii="Arial" w:hAnsi="Arial" w:eastAsia="Arial" w:cs="Arial"/>
          <w:sz w:val="24"/>
          <w:szCs w:val="24"/>
        </w:rPr>
        <w:t>Only one mechanism ablation is planned. With the same evidence graph, disable the link by which an actually delivered authorised prompt affects the assessment consequence; keep everything else unchanged. Both the full and ablated versions should recognise the correct subsequent answer, but only the full version should apply the original rubric's prompt-related grade cap. Neither an undelivered draft nor ordinary clarification should trigger that cap. This is an offline test: it adds no student tasks and does not require several separate systems.</w:t>
      </w:r>
      <w:hyperlink w:anchor="ref_R30">
        <w:r>
          <w:rPr>
            <w:color w:val="184E7B"/>
            <w:u w:val="single"/>
            <w:sz w:val="20"/>
            <w:rFonts w:ascii="Arial" w:hAnsi="Arial" w:eastAsia="Arial" w:cs="Arial"/>
            <w:szCs w:val="20"/>
          </w:rPr>
          <w:t>[15]</w:t>
        </w:r>
      </w:hyperlink>
      <w:r>
        <w:rPr>
          <w:rFonts w:ascii="Arial" w:hAnsi="Arial" w:eastAsia="Arial" w:cs="Arial"/>
          <w:sz w:val="24"/>
          <w:szCs w:val="24"/>
        </w:rPr>
      </w:r>
    </w:p>
    <w:p>
      <w:pPr>
        <w:pStyle w:val="Heading2"/>
        <w:spacing w:line="276" w:lineRule="auto" w:after="120"/>
      </w:pPr>
      <w:r>
        <w:rPr>
          <w:rFonts w:ascii="Arial" w:hAnsi="Arial" w:eastAsia="Arial" w:cs="Arial"/>
          <w:sz w:val="24"/>
          <w:szCs w:val="24"/>
        </w:rPr>
        <w:t>9.1 Sample-size rationale and limits of inference</w:t>
      </w:r>
    </w:p>
    <w:p>
      <w:pPr>
        <w:spacing w:line="276" w:lineRule="auto" w:after="120"/>
      </w:pPr>
      <w:r>
        <w:rPr>
          <w:rFonts w:ascii="Arial" w:hAnsi="Arial" w:eastAsia="Arial" w:cs="Arial"/>
          <w:sz w:val="24"/>
          <w:szCs w:val="24"/>
        </w:rPr>
        <w:t>Sixteen students is the pilot sample that fits the available morning session. Its justification is based on resources, study aims, and estimation precision; no authoritative paper establishes that 16 students are sufficient to demonstrate the effectiveness of AI OSCEs.</w:t>
      </w:r>
      <w:hyperlink w:anchor="ref_R18">
        <w:r>
          <w:rPr>
            <w:color w:val="184E7B"/>
            <w:u w:val="single"/>
            <w:sz w:val="20"/>
            <w:rFonts w:ascii="Arial" w:hAnsi="Arial" w:eastAsia="Arial" w:cs="Arial"/>
            <w:szCs w:val="20"/>
          </w:rPr>
          <w:t>[16]</w:t>
        </w:r>
      </w:hyperlink>
      <w:r>
        <w:rPr>
          <w:rFonts w:ascii="Arial" w:hAnsi="Arial" w:eastAsia="Arial" w:cs="Arial"/>
          <w:sz w:val="24"/>
          <w:szCs w:val="24"/>
        </w:rPr>
      </w:r>
      <w:hyperlink w:anchor="ref_PILOT">
        <w:r>
          <w:rPr>
            <w:color w:val="184E7B"/>
            <w:u w:val="single"/>
            <w:sz w:val="20"/>
            <w:rFonts w:ascii="Arial" w:hAnsi="Arial" w:eastAsia="Arial" w:cs="Arial"/>
            <w:szCs w:val="20"/>
          </w:rPr>
          <w:t>[18]</w:t>
        </w:r>
      </w:hyperlink>
      <w:r>
        <w:rPr>
          <w:rFonts w:ascii="Arial" w:hAnsi="Arial" w:eastAsia="Arial" w:cs="Arial"/>
          <w:sz w:val="24"/>
          <w:szCs w:val="24"/>
        </w:rPr>
        <w:t xml:space="preserve"> There will be only 16 live sessions per method. Even if all 16 are compliant, the lower bound of the Wilson 95% interval is approximately 80.6% under an independent binary-observation assumption. Each student's two stations, individual items, and responses are correlated; 128 items must not be treated as 128 independent students.</w:t>
      </w:r>
      <w:hyperlink w:anchor="ref_STATCI">
        <w:r>
          <w:rPr>
            <w:color w:val="184E7B"/>
            <w:u w:val="single"/>
            <w:sz w:val="20"/>
            <w:rFonts w:ascii="Arial" w:hAnsi="Arial" w:eastAsia="Arial" w:cs="Arial"/>
            <w:szCs w:val="20"/>
          </w:rPr>
          <w:t>[20]</w:t>
        </w:r>
      </w:hyperlink>
      <w:r>
        <w:rPr>
          <w:rFonts w:ascii="Arial" w:hAnsi="Arial" w:eastAsia="Arial" w:cs="Arial"/>
          <w:sz w:val="24"/>
          <w:szCs w:val="24"/>
        </w:rPr>
      </w:r>
    </w:p>
    <w:p>
      <w:pPr>
        <w:spacing w:line="276" w:lineRule="auto" w:after="120"/>
      </w:pPr>
      <w:r>
        <w:rPr>
          <w:rFonts w:ascii="Arial" w:hAnsi="Arial" w:eastAsia="Arial" w:cs="Arial"/>
          <w:sz w:val="24"/>
          <w:szCs w:val="24"/>
        </w:rPr>
        <w:t>First report the live-study counts by station and method, followed by the between-method differences and 95% intervals. Resampling is performed at student level, retaining all records from each sampled student. Assessment and role comparisons using identical inputs retain their paired structure. Analyse the 16 simulated scripts as independent clinical scenarios; paraphrases and repeated runs do not increase the sample size. Binary paired outcomes can be presented in a discordance table and analysed using a prespecified paired test.</w:t>
      </w:r>
      <w:hyperlink w:anchor="ref_STATMC">
        <w:r>
          <w:rPr>
            <w:color w:val="184E7B"/>
            <w:u w:val="single"/>
            <w:sz w:val="20"/>
            <w:rFonts w:ascii="Arial" w:hAnsi="Arial" w:eastAsia="Arial" w:cs="Arial"/>
            <w:szCs w:val="20"/>
          </w:rPr>
          <w:t>[21]</w:t>
        </w:r>
      </w:hyperlink>
      <w:r>
        <w:rPr>
          <w:rFonts w:ascii="Arial" w:hAnsi="Arial" w:eastAsia="Arial" w:cs="Arial"/>
          <w:sz w:val="24"/>
          <w:szCs w:val="24"/>
        </w:rPr>
      </w:r>
    </w:p>
    <w:p>
      <w:pPr>
        <w:spacing w:line="276" w:lineRule="auto" w:after="120"/>
      </w:pPr>
      <w:r>
        <w:rPr>
          <w:rFonts w:ascii="Arial" w:hAnsi="Arial" w:eastAsia="Arial" w:cs="Arial"/>
          <w:sz w:val="24"/>
          <w:szCs w:val="24"/>
        </w:rPr>
        <w:t>A wide interval or one that includes no difference means that superiority has not been demonstrated; it does not establish equivalence. If both methods succeed on every observation, a bootstrap difference that is always zero does not remove small-sample uncertainty. Report questionnaire distributions and medians item by item, with unable-to-judge responses separate. Do not combine the items into an unvalidated total scale or a measure of system accuracy.</w:t>
      </w:r>
      <w:hyperlink w:anchor="ref_R33">
        <w:r>
          <w:rPr>
            <w:color w:val="184E7B"/>
            <w:u w:val="single"/>
            <w:sz w:val="20"/>
            <w:rFonts w:ascii="Arial" w:hAnsi="Arial" w:eastAsia="Arial" w:cs="Arial"/>
            <w:szCs w:val="20"/>
          </w:rPr>
          <w:t>[17]</w:t>
        </w:r>
      </w:hyperlink>
      <w:r>
        <w:rPr>
          <w:rFonts w:ascii="Arial" w:hAnsi="Arial" w:eastAsia="Arial" w:cs="Arial"/>
          <w:sz w:val="24"/>
          <w:szCs w:val="24"/>
        </w:rPr>
      </w:r>
    </w:p>
    <w:p>
      <w:pPr>
        <w:pStyle w:val="Heading2"/>
        <w:spacing w:line="276" w:lineRule="auto" w:after="120"/>
      </w:pPr>
      <w:r>
        <w:rPr>
          <w:rFonts w:ascii="Arial" w:hAnsi="Arial" w:eastAsia="Arial" w:cs="Arial"/>
          <w:sz w:val="24"/>
          <w:szCs w:val="24"/>
        </w:rPr>
        <w:t>9.2 Faculty reference assessment and second review</w:t>
      </w:r>
    </w:p>
    <w:p>
      <w:pPr>
        <w:spacing w:line="276" w:lineRule="auto" w:after="120"/>
      </w:pPr>
      <w:r>
        <w:rPr>
          <w:rFonts w:ascii="Arial" w:hAnsi="Arial" w:eastAsia="Arial" w:cs="Arial"/>
          <w:sz w:val="24"/>
          <w:szCs w:val="24"/>
        </w:rPr>
        <w:t>If only one faculty assessor participates, describe the reference as a single-expert assessment and analyse uncertainty and sources of disagreement; do not claim that inter-rater reliability has been established. If a second assessor is available, preselect eight sessions covering all four stations and both methods. Each assessor completes the forms independently before discussion, and the pre-discussion judgements are retained. Reliability estimates from this small subset will also be imprecise.</w:t>
      </w:r>
      <w:hyperlink w:anchor="ref_R17">
        <w:r>
          <w:rPr>
            <w:color w:val="184E7B"/>
            <w:u w:val="single"/>
            <w:sz w:val="20"/>
            <w:rFonts w:ascii="Arial" w:hAnsi="Arial" w:eastAsia="Arial" w:cs="Arial"/>
            <w:szCs w:val="20"/>
          </w:rPr>
          <w:t>[10]</w:t>
        </w:r>
      </w:hyperlink>
      <w:r>
        <w:rPr>
          <w:rFonts w:ascii="Arial" w:hAnsi="Arial" w:eastAsia="Arial" w:cs="Arial"/>
          <w:sz w:val="24"/>
          <w:szCs w:val="24"/>
        </w:rPr>
      </w:r>
      <w:hyperlink w:anchor="ref_R20">
        <w:r>
          <w:rPr>
            <w:color w:val="184E7B"/>
            <w:u w:val="single"/>
            <w:sz w:val="20"/>
            <w:rFonts w:ascii="Arial" w:hAnsi="Arial" w:eastAsia="Arial" w:cs="Arial"/>
            <w:szCs w:val="20"/>
          </w:rPr>
          <w:t>[12]</w:t>
        </w:r>
      </w:hyperlink>
      <w:r>
        <w:rPr>
          <w:rFonts w:ascii="Arial" w:hAnsi="Arial" w:eastAsia="Arial" w:cs="Arial"/>
          <w:sz w:val="24"/>
          <w:szCs w:val="24"/>
        </w:rPr>
      </w:r>
    </w:p>
    <w:p>
      <w:pPr>
        <w:spacing w:line="276" w:lineRule="auto" w:after="120"/>
      </w:pPr>
      <w:r>
        <w:rPr>
          <w:rFonts w:ascii="Arial" w:hAnsi="Arial" w:eastAsia="Arial" w:cs="Arial"/>
          <w:sz w:val="24"/>
          <w:szCs w:val="24"/>
        </w:rPr>
        <w:t>Reviewing the 16 short simulated dialogues is expected to take 3–5 minutes each, or approximately 1–2 hours including calibration. Schedule this separately from the live-session review. If the review cannot be completed, report only the number actually verified and the prespecified sampling procedure; do not supply assumed faculty judgements.</w:t>
      </w:r>
    </w:p>
    <w:p>
      <w:pPr>
        <w:pStyle w:val="Heading1"/>
        <w:pageBreakBefore w:val="0"/>
        <w:spacing w:line="276" w:lineRule="auto" w:after="120"/>
      </w:pPr>
      <w:r>
        <w:rPr>
          <w:rFonts w:ascii="Arial" w:hAnsi="Arial" w:eastAsia="Arial" w:cs="Arial"/>
          <w:sz w:val="26"/>
          <w:szCs w:val="26"/>
        </w:rPr>
        <w:t>10 Existing materials and decisions required before the activity</w:t>
      </w:r>
    </w:p>
    <w:p>
      <w:pPr>
        <w:spacing w:line="276" w:lineRule="auto" w:after="120"/>
      </w:pPr>
      <w:r>
        <w:rPr>
          <w:rFonts w:ascii="Arial" w:hAnsi="Arial" w:eastAsia="Arial" w:cs="Arial"/>
          <w:sz w:val="24"/>
          <w:szCs w:val="24"/>
        </w:rPr>
        <w:t>The 9 September package contains 52 files: 18 videos labelled by performance level, four task descriptions, four original assessment forms, one Exhibit, and 25 pharmacy PDFs. YT's comments and the system specification have also been received. This study will use those existing requirements. YT's comments on pages 13–15 already clarify prompts, alternative drugs, missed MTX doses, and grading consequences; these do not need to be defined again.</w:t>
      </w:r>
    </w:p>
    <w:p>
      <w:pPr>
        <w:spacing w:after="120" w:line="276" w:lineRule="auto"/>
      </w:pPr>
      <w:r>
        <w:rPr>
          <w:rFonts w:ascii="Arial" w:hAnsi="Arial" w:eastAsia="Arial" w:cs="Arial"/>
          <w:sz w:val="24"/>
          <w:szCs w:val="24"/>
        </w:rPr>
      </w:r>
      <w:hyperlink r:id="rId13">
        <w:r>
          <w:rPr>
            <w:color w:val="184E7B"/>
            <w:u w:val="single"/>
            <w:sz w:val="20"/>
            <w:rFonts w:ascii="Arial" w:hAnsi="Arial" w:eastAsia="Arial" w:cs="Arial"/>
            <w:szCs w:val="20"/>
          </w:rPr>
          <w:t>Faculty's original onychomycosis rubric</w:t>
        </w:r>
      </w:hyperlink>
      <w:r>
        <w:rPr>
          <w:rFonts w:ascii="Arial" w:hAnsi="Arial" w:eastAsia="Arial" w:cs="Arial"/>
          <w:sz w:val="24"/>
          <w:szCs w:val="24"/>
        </w:rPr>
        <w:t xml:space="preserve">　</w:t>
      </w:r>
      <w:hyperlink r:id="rId14">
        <w:r>
          <w:rPr>
            <w:color w:val="184E7B"/>
            <w:u w:val="single"/>
            <w:sz w:val="20"/>
            <w:rFonts w:ascii="Arial" w:hAnsi="Arial" w:eastAsia="Arial" w:cs="Arial"/>
            <w:szCs w:val="20"/>
          </w:rPr>
          <w:t>Faculty's original migraine rubric</w:t>
        </w:r>
      </w:hyperlink>
      <w:r>
        <w:rPr>
          <w:rFonts w:ascii="Arial" w:hAnsi="Arial" w:eastAsia="Arial" w:cs="Arial"/>
          <w:sz w:val="24"/>
          <w:szCs w:val="24"/>
        </w:rPr>
        <w:t xml:space="preserve">　</w:t>
      </w:r>
      <w:hyperlink r:id="rId15">
        <w:r>
          <w:rPr>
            <w:color w:val="184E7B"/>
            <w:u w:val="single"/>
            <w:sz w:val="20"/>
            <w:rFonts w:ascii="Arial" w:hAnsi="Arial" w:eastAsia="Arial" w:cs="Arial"/>
            <w:szCs w:val="20"/>
          </w:rPr>
          <w:t>Faculty's original diuretics rubric</w:t>
        </w:r>
      </w:hyperlink>
      <w:r>
        <w:rPr>
          <w:rFonts w:ascii="Arial" w:hAnsi="Arial" w:eastAsia="Arial" w:cs="Arial"/>
          <w:sz w:val="24"/>
          <w:szCs w:val="24"/>
        </w:rPr>
        <w:t xml:space="preserve">　</w:t>
      </w:r>
      <w:hyperlink r:id="rId16">
        <w:r>
          <w:rPr>
            <w:color w:val="184E7B"/>
            <w:u w:val="single"/>
            <w:sz w:val="20"/>
            <w:rFonts w:ascii="Arial" w:hAnsi="Arial" w:eastAsia="Arial" w:cs="Arial"/>
            <w:szCs w:val="20"/>
          </w:rPr>
          <w:t>Faculty's original MTX rubric</w:t>
        </w:r>
      </w:hyperlink>
      <w:r>
        <w:rPr>
          <w:rFonts w:ascii="Arial" w:hAnsi="Arial" w:eastAsia="Arial" w:cs="Arial"/>
          <w:sz w:val="24"/>
          <w:szCs w:val="24"/>
        </w:rPr>
        <w:t xml:space="preserve">　</w:t>
      </w:r>
      <w:hyperlink r:id="rId17">
        <w:r>
          <w:rPr>
            <w:color w:val="184E7B"/>
            <w:u w:val="single"/>
            <w:sz w:val="20"/>
            <w:rFonts w:ascii="Arial" w:hAnsi="Arial" w:eastAsia="Arial" w:cs="Arial"/>
            <w:szCs w:val="20"/>
          </w:rPr>
          <w:t>YT's comments, pages 13–15</w:t>
        </w:r>
      </w:hyperlink>
    </w:p>
    <w:p>
      <w:pPr>
        <w:spacing w:line="276" w:lineRule="auto" w:after="120"/>
      </w:pPr>
      <w:r>
        <w:rPr>
          <w:rFonts w:ascii="Arial" w:hAnsi="Arial" w:eastAsia="Arial" w:cs="Arial"/>
          <w:sz w:val="24"/>
          <w:szCs w:val="24"/>
        </w:rPr>
        <w:t>The videos already carry labels such as Best, Average, and Fail. YT's comments on pages 8 and 10 also evaluate the diuretics and MTX performances. These materials can support calibration. However, the four original assessment forms received are templates; a complete set of individual item-level scores corresponding to all 18 videos has not been identified. Page 14 of YT's comments also states that the MTX clip was performed by teachers, so the 18 clips cannot simply be treated as data from 18 real examinees.</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94"/>
        <w:gridCol w:w="5066"/>
      </w:tblGrid>
      <w:tr>
        <w:trPr>
          <w:cantSplit/>
          <w:tblHeader/>
        </w:trPr>
        <w:tc>
          <w:tcPr>
            <w:tcW w:type="dxa" w:w="4294"/>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Targets in the supplied specification</w:t>
            </w:r>
          </w:p>
        </w:tc>
        <w:tc>
          <w:tcPr>
            <w:tcW w:type="dxa" w:w="5066"/>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Use in this study</w:t>
            </w:r>
          </w:p>
        </w:tc>
      </w:tr>
      <w:tr>
        <w:trPr>
          <w:cantSplit/>
        </w:trPr>
        <w:tc>
          <w:tcPr>
            <w:tcW w:type="dxa" w:w="429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Role consistency, case consistency, and professional boundaries: each ≥95%; clinically appropriate responses: ≥90%; no critical unsafe responses</w:t>
            </w:r>
          </w:p>
        </w:tc>
        <w:tc>
          <w:tcPr>
            <w:tcW w:type="dxa" w:w="5066"/>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Check each behaviour category against the original requirements, after confirming the assessment unit and specification version. The rate of compliance across all five categories is an additional research measure and is not directly equivalent to the separate 95% targets.</w:t>
            </w:r>
          </w:p>
        </w:tc>
      </w:tr>
      <w:tr>
        <w:trPr>
          <w:cantSplit/>
        </w:trPr>
        <w:tc>
          <w:tcPr>
            <w:tcW w:type="dxa" w:w="4294"/>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Initial grading agreement ≥0.60; calibration target ≥0.75</w:t>
            </w:r>
          </w:p>
        </w:tc>
        <w:tc>
          <w:tcPr>
            <w:tcW w:type="dxa" w:w="5066"/>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The original specification does not define the agreement statistic or tolerance. These must be confirmed; the values must not automatically be interpreted as this study's exact agreement in assessment decisions.</w:t>
            </w:r>
          </w:p>
        </w:tc>
      </w:tr>
      <w:tr>
        <w:trPr>
          <w:cantSplit/>
        </w:trPr>
        <w:tc>
          <w:tcPr>
            <w:tcW w:type="dxa" w:w="429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Pilot: at least five representative sessions, or an alternative number approved by the School; completion ≥95%; platform failure &lt;2%</w:t>
            </w:r>
          </w:p>
        </w:tc>
        <w:tc>
          <w:tcPr>
            <w:tcW w:type="dxa" w:w="5066"/>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The study plans 32 consultations and will record timely completion and platform failure. Meeting the engineering pilot requirement does not establish adequate statistical power.</w:t>
            </w:r>
          </w:p>
        </w:tc>
      </w:tr>
    </w:tbl>
    <w:p>
      <w:pPr>
        <w:spacing w:after="60" w:line="20" w:lineRule="exact"/>
        <w:rPr>
          <w:sz w:val="2"/>
        </w:rPr>
      </w:pPr>
      <w:r>
        <w:rPr>
          <w:rFonts w:ascii="Arial" w:hAnsi="Arial" w:eastAsia="Arial" w:cs="Arial"/>
          <w:sz w:val="24"/>
          <w:szCs w:val="24"/>
        </w:rPr>
      </w:r>
      <w:r>
        <w:rPr>
          <w:sz w:val="24"/>
          <w:rFonts w:ascii="Arial" w:hAnsi="Arial" w:eastAsia="Arial" w:cs="Arial"/>
          <w:szCs w:val="24"/>
        </w:rPr>
      </w:r>
    </w:p>
    <w:p>
      <w:pPr>
        <w:spacing w:after="120" w:line="276" w:lineRule="auto"/>
      </w:pPr>
      <w:r>
        <w:rPr>
          <w:rFonts w:ascii="Arial" w:hAnsi="Arial" w:eastAsia="Arial" w:cs="Arial"/>
          <w:sz w:val="24"/>
          <w:szCs w:val="24"/>
        </w:rPr>
      </w:r>
      <w:hyperlink r:id="rId18">
        <w:r>
          <w:rPr>
            <w:color w:val="184E7B"/>
            <w:u w:val="single"/>
            <w:sz w:val="20"/>
            <w:rFonts w:ascii="Arial" w:hAnsi="Arial" w:eastAsia="Arial" w:cs="Arial"/>
            <w:szCs w:val="20"/>
          </w:rPr>
          <w:t>Faculty system specification: Revised 3 IL_new</w:t>
        </w:r>
      </w:hyperlink>
    </w:p>
    <w:p>
      <w:pPr>
        <w:spacing w:line="276" w:lineRule="auto" w:after="120"/>
      </w:pPr>
      <w:r>
        <w:rPr>
          <w:sz w:val="24"/>
          <w:rFonts w:ascii="Arial" w:hAnsi="Arial" w:eastAsia="Arial" w:cs="Arial"/>
          <w:szCs w:val="24"/>
        </w:rPr>
        <w:t>Completion rate = consultations completing the task process on time ÷ consultations started. Platform failure rate = consultations unable to continue or deliver a result because of a platform fault ÷ consultations started. Multiple faults in one session count as one failed session. Retry attempts are recorded separately and do not create additional student observations. A student's incorrect clinical answer is not a platform failure. If all 32 sessions finish on time with no fault, the point estimates are 100% and 0%; nevertheless, the Wilson 95% upper bound for zero failures is approximately 10.7%, so this result cannot establish a population failure rate below 2%.</w:t>
      </w:r>
      <w:hyperlink w:anchor="ref_STATCI">
        <w:r>
          <w:rPr>
            <w:color w:val="184E7B"/>
            <w:u w:val="single"/>
            <w:sz w:val="20"/>
            <w:rFonts w:ascii="Arial" w:hAnsi="Arial" w:eastAsia="Arial" w:cs="Arial"/>
            <w:szCs w:val="20"/>
          </w:rPr>
          <w:t>[20]</w:t>
        </w:r>
      </w:hyperlink>
      <w:r>
        <w:rPr>
          <w:sz w:val="24"/>
          <w:rFonts w:ascii="Arial" w:hAnsi="Arial" w:eastAsia="Arial" w:cs="Arial"/>
          <w:szCs w:val="24"/>
        </w:rPr>
      </w:r>
    </w:p>
    <w:p>
      <w:pPr>
        <w:pStyle w:val="Heading1"/>
        <w:pageBreakBefore w:val="0"/>
        <w:spacing w:line="276" w:lineRule="auto" w:after="120"/>
      </w:pPr>
      <w:r>
        <w:rPr>
          <w:rFonts w:ascii="Arial" w:hAnsi="Arial" w:eastAsia="Arial" w:cs="Arial"/>
          <w:sz w:val="26"/>
          <w:szCs w:val="26"/>
        </w:rPr>
        <w:t>11 Decisions to confirm before the activity</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6552"/>
      </w:tblGrid>
      <w:tr>
        <w:trPr>
          <w:cantSplit/>
          <w:tblHeader/>
        </w:trPr>
        <w:tc>
          <w:tcPr>
            <w:tcW w:type="dxa" w:w="280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Decision needed</w:t>
            </w:r>
          </w:p>
        </w:tc>
        <w:tc>
          <w:tcPr>
            <w:tcW w:type="dxa" w:w="6552"/>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Details to confirm or record</w:t>
            </w:r>
          </w:p>
        </w:tc>
      </w:tr>
      <w:tr>
        <w:trPr>
          <w:cantSplit/>
        </w:trPr>
        <w:tc>
          <w:tcPr>
            <w:tcW w:type="dxa" w:w="280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Requirements used to judge acceptability</w:t>
            </w:r>
          </w:p>
        </w:tc>
        <w:tc>
          <w:tcPr>
            <w:tcW w:type="dxa" w:w="655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Confirm the version of the supplied specification and the formative-practice targets to use, the statistic, tolerance, and denominator for agreement, and the assessment unit for each 95% target.</w:t>
            </w:r>
          </w:p>
        </w:tc>
      </w:tr>
      <w:tr>
        <w:trPr>
          <w:cantSplit/>
        </w:trPr>
        <w:tc>
          <w:tcPr>
            <w:tcW w:type="dxa" w:w="2808"/>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Research use of the existing graded videos</w:t>
            </w:r>
          </w:p>
        </w:tc>
        <w:tc>
          <w:tcPr>
            <w:tcW w:type="dxa" w:w="6552"/>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The 18 clips have been received. Confirm their recording context, grading references, and permitted research use. If corresponding original item-level faculty scores exist, only those linked records need to be supplied; the videos and rubrics need not be provided again.</w:t>
            </w:r>
          </w:p>
        </w:tc>
      </w:tr>
      <w:tr>
        <w:trPr>
          <w:cantSplit/>
        </w:trPr>
        <w:tc>
          <w:tcPr>
            <w:tcW w:type="dxa" w:w="280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Participation and timing on 7 October</w:t>
            </w:r>
          </w:p>
        </w:tc>
        <w:tc>
          <w:tcPr>
            <w:tcW w:type="dxa" w:w="655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Confirm whether 16 students can be recruited, their year of study and familiarity with the cases, and whether two minutes for reading, ten minutes for consultation, and two minutes for the questionnaire are appropriate.</w:t>
            </w:r>
          </w:p>
        </w:tc>
      </w:tr>
      <w:tr>
        <w:trPr>
          <w:cantSplit/>
        </w:trPr>
        <w:tc>
          <w:tcPr>
            <w:tcW w:type="dxa" w:w="2808"/>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Assessment policies that remain unresolved</w:t>
            </w:r>
          </w:p>
        </w:tc>
        <w:tc>
          <w:tcPr>
            <w:tcW w:type="dxa" w:w="6552"/>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Confirm grading consequences after a spontaneous correction, review procedures following unauthorised AI disclosure, prompt consequences for non-CGRP alternatives, and the timing of allergy verification when an alternative drug is recommended. Requirements already clarified will follow the supplied materials.</w:t>
            </w:r>
          </w:p>
        </w:tc>
      </w:tr>
      <w:tr>
        <w:trPr>
          <w:cantSplit/>
        </w:trPr>
        <w:tc>
          <w:tcPr>
            <w:tcW w:type="dxa" w:w="280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Faculty review arrangements</w:t>
            </w:r>
          </w:p>
        </w:tc>
        <w:tc>
          <w:tcPr>
            <w:tcW w:type="dxa" w:w="655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Choose between reviewing all 32 sessions (approximately 7–11 hours) and a preselected subset of 16 (approximately 4–6 hours). Confirm whether a second faculty assessor can independently review eight sessions. The 16 simulated dialogues require a separate 1–2 hours approximately.</w:t>
            </w:r>
          </w:p>
        </w:tc>
      </w:tr>
      <w:tr>
        <w:trPr>
          <w:cantSplit/>
        </w:trPr>
        <w:tc>
          <w:tcPr>
            <w:tcW w:type="dxa" w:w="2808"/>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Research approval and use of materials</w:t>
            </w:r>
          </w:p>
        </w:tc>
        <w:tc>
          <w:tcPr>
            <w:tcW w:type="dxa" w:w="6552"/>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Confirm the School approval process for new recordings and questionnaires, and the permitted public use of existing teaching materials, videos, and screenshots. Ownership provisions in the original specification do not by themselves constitute permission for publication.</w:t>
            </w:r>
          </w:p>
        </w:tc>
      </w:tr>
    </w:tbl>
    <w:p>
      <w:pPr>
        <w:spacing w:after="60" w:line="20" w:lineRule="exact"/>
        <w:rPr>
          <w:sz w:val="2"/>
        </w:rPr>
      </w:pPr>
      <w:r>
        <w:rPr>
          <w:rFonts w:ascii="Arial" w:hAnsi="Arial" w:eastAsia="Arial" w:cs="Arial"/>
          <w:sz w:val="24"/>
          <w:szCs w:val="24"/>
        </w:rPr>
      </w:r>
      <w:r>
        <w:rPr>
          <w:sz w:val="24"/>
          <w:rFonts w:ascii="Arial" w:hAnsi="Arial" w:eastAsia="Arial" w:cs="Arial"/>
          <w:szCs w:val="24"/>
        </w:rPr>
      </w:r>
    </w:p>
    <w:p>
      <w:pPr>
        <w:pStyle w:val="Heading2"/>
        <w:spacing w:line="276" w:lineRule="auto" w:after="120"/>
      </w:pPr>
      <w:r>
        <w:rPr>
          <w:rFonts w:ascii="Arial" w:hAnsi="Arial" w:eastAsia="Arial" w:cs="Arial"/>
          <w:sz w:val="24"/>
          <w:szCs w:val="24"/>
        </w:rPr>
        <w:t>11.1 Other research questions that these data could support</w:t>
      </w:r>
    </w:p>
    <w:p>
      <w:pPr>
        <w:spacing w:line="276" w:lineRule="auto" w:after="120"/>
      </w:pPr>
      <w:r>
        <w:rPr>
          <w:rFonts w:ascii="Arial" w:hAnsi="Arial" w:eastAsia="Arial" w:cs="Arial"/>
          <w:sz w:val="24"/>
          <w:szCs w:val="24"/>
        </w:rPr>
        <w:t>A platform implementation study could focus on feasibility across the four stations, patient or doctor role performance, faculty acceptability, and student experience. The EGJ paper would focus on method differences under matched conditions. A separate feedback study would require additional faculty checks of the feedback's clinical basis or student explanations of how they would improve on their next attempt. The current five-item experience questionnaire cannot establish improved learning outcomes. Papers using shared data must address distinct questions, include substantial new analysis, and disclose the reuse.</w:t>
      </w:r>
      <w:hyperlink w:anchor="ref_R17">
        <w:r>
          <w:rPr>
            <w:color w:val="184E7B"/>
            <w:u w:val="single"/>
            <w:sz w:val="20"/>
            <w:rFonts w:ascii="Arial" w:hAnsi="Arial" w:eastAsia="Arial" w:cs="Arial"/>
            <w:szCs w:val="20"/>
          </w:rPr>
          <w:t>[10]</w:t>
        </w:r>
      </w:hyperlink>
      <w:r>
        <w:rPr>
          <w:rFonts w:ascii="Arial" w:hAnsi="Arial" w:eastAsia="Arial" w:cs="Arial"/>
          <w:sz w:val="24"/>
          <w:szCs w:val="24"/>
        </w:rPr>
      </w:r>
      <w:hyperlink w:anchor="ref_R33">
        <w:r>
          <w:rPr>
            <w:color w:val="184E7B"/>
            <w:u w:val="single"/>
            <w:sz w:val="20"/>
            <w:rFonts w:ascii="Arial" w:hAnsi="Arial" w:eastAsia="Arial" w:cs="Arial"/>
            <w:szCs w:val="20"/>
          </w:rPr>
          <w:t>[17]</w:t>
        </w:r>
      </w:hyperlink>
      <w:r>
        <w:rPr>
          <w:rFonts w:ascii="Arial" w:hAnsi="Arial" w:eastAsia="Arial" w:cs="Arial"/>
          <w:sz w:val="24"/>
          <w:szCs w:val="24"/>
        </w:rPr>
      </w:r>
      <w:hyperlink w:anchor="ref_IEEE">
        <w:r>
          <w:rPr>
            <w:color w:val="184E7B"/>
            <w:u w:val="single"/>
            <w:sz w:val="20"/>
            <w:rFonts w:ascii="Arial" w:hAnsi="Arial" w:eastAsia="Arial" w:cs="Arial"/>
            <w:szCs w:val="20"/>
          </w:rPr>
          <w:t>[22]</w:t>
        </w:r>
      </w:hyperlink>
      <w:r>
        <w:rPr>
          <w:rFonts w:ascii="Arial" w:hAnsi="Arial" w:eastAsia="Arial" w:cs="Arial"/>
          <w:sz w:val="24"/>
          <w:szCs w:val="24"/>
        </w:rPr>
      </w:r>
    </w:p>
    <w:p>
      <w:pPr>
        <w:spacing w:line="276" w:lineRule="auto" w:after="120"/>
      </w:pPr>
      <w:r>
        <w:rPr>
          <w:rFonts w:ascii="Arial" w:hAnsi="Arial" w:eastAsia="Arial" w:cs="Arial"/>
          <w:sz w:val="24"/>
          <w:szCs w:val="24"/>
        </w:rPr>
        <w:t>Without a contemporaneous human comparator, the existing graded recordings serve as performance references. Describe the new student data against the same standards, but do not interpret pass-rate differences between cohorts as evidence that AI is superior to human-led OSCEs. A formal human-versus-AI comparison would require separately matched tasks, students, and assessment procedures.</w:t>
      </w:r>
    </w:p>
    <w:p>
      <w:pPr>
        <w:pStyle w:val="Heading1"/>
        <w:pageBreakBefore w:val="0"/>
        <w:spacing w:line="276" w:lineRule="auto" w:after="120"/>
      </w:pPr>
      <w:r>
        <w:rPr>
          <w:rFonts w:ascii="Arial" w:hAnsi="Arial" w:eastAsia="Arial" w:cs="Arial"/>
          <w:sz w:val="26"/>
          <w:szCs w:val="26"/>
        </w:rPr>
        <w:t>References</w:t>
      </w:r>
    </w:p>
    <w:p>
      <w:pPr>
        <w:spacing w:line="276" w:lineRule="auto" w:after="120"/>
      </w:pPr>
      <w:r>
        <w:rPr>
          <w:sz w:val="21"/>
          <w:rFonts w:ascii="Arial" w:hAnsi="Arial" w:eastAsia="Arial" w:cs="Arial"/>
          <w:szCs w:val="21"/>
        </w:rPr>
        <w:t>Reference numbers in the text link to the entries below. External links lead to the original papers or official sources, and local PDFs are provided where the full text is available. The locator notes identify the findings or methods used in this proposal. The School's original rubrics and comments are linked in Section 10.</w:t>
      </w:r>
    </w:p>
    <w:p>
      <w:bookmarkStart w:id="1" w:name="ref_STURPE"/>
      <w:pPr>
        <w:keepNext/>
        <w:spacing w:after="120" w:line="276" w:lineRule="auto"/>
      </w:pPr>
      <w:r>
        <w:rPr>
          <w:sz w:val="21"/>
          <w:rFonts w:ascii="Arial" w:hAnsi="Arial" w:eastAsia="Arial" w:cs="Arial"/>
          <w:szCs w:val="21"/>
        </w:rPr>
        <w:t>[1] D. A. Sturpe. Objective Structured Clinical Examinations in Doctor of Pharmacy Programs in the United States. AJPE 74(8):148, 2010.</w:t>
      </w:r>
      <w:bookmarkEnd w:id="1"/>
    </w:p>
    <w:p>
      <w:pPr>
        <w:keepNext/>
        <w:spacing w:after="120" w:line="276" w:lineRule="auto"/>
      </w:pPr>
      <w:r>
        <w:rPr>
          <w:sz w:val="21"/>
          <w:rFonts w:ascii="Arial" w:hAnsi="Arial" w:eastAsia="Arial" w:cs="Arial"/>
          <w:szCs w:val="21"/>
        </w:rPr>
        <w:t>Introduction, Methods, and Discussion: supports the discussion of organisational and resource demands in traditional pharmacy OSCEs; it does not establish CUHK's current costs.</w:t>
      </w:r>
    </w:p>
    <w:p>
      <w:pPr>
        <w:spacing w:after="120" w:line="276" w:lineRule="auto"/>
      </w:pPr>
      <w:r>
        <w:rPr>
          <w:rFonts w:ascii="Arial" w:hAnsi="Arial" w:eastAsia="Arial" w:cs="Arial"/>
          <w:sz w:val="21"/>
          <w:szCs w:val="21"/>
        </w:rPr>
      </w:r>
      <w:hyperlink r:id="rId19">
        <w:r>
          <w:rPr>
            <w:color w:val="184E7B"/>
            <w:u w:val="single"/>
            <w:sz w:val="20"/>
            <w:rFonts w:ascii="Arial" w:hAnsi="Arial" w:eastAsia="Arial" w:cs="Arial"/>
            <w:szCs w:val="20"/>
          </w:rPr>
          <w:t>Original paper or official source</w:t>
        </w:r>
      </w:hyperlink>
      <w:r>
        <w:rPr>
          <w:rFonts w:ascii="Arial" w:hAnsi="Arial" w:eastAsia="Arial" w:cs="Arial"/>
          <w:sz w:val="21"/>
          <w:szCs w:val="21"/>
        </w:rPr>
        <w:t xml:space="preserve">　</w:t>
      </w:r>
      <w:hyperlink r:id="rId20">
        <w:r>
          <w:rPr>
            <w:color w:val="184E7B"/>
            <w:u w:val="single"/>
            <w:sz w:val="20"/>
            <w:rFonts w:ascii="Arial" w:hAnsi="Arial" w:eastAsia="Arial" w:cs="Arial"/>
            <w:szCs w:val="20"/>
          </w:rPr>
          <w:t>Public full text</w:t>
        </w:r>
      </w:hyperlink>
    </w:p>
    <w:p>
      <w:bookmarkStart w:id="2" w:name="ref_R01"/>
      <w:pPr>
        <w:keepNext/>
        <w:spacing w:after="120" w:line="276" w:lineRule="auto"/>
      </w:pPr>
      <w:r>
        <w:rPr>
          <w:sz w:val="21"/>
          <w:rFonts w:ascii="Arial" w:hAnsi="Arial" w:eastAsia="Arial" w:cs="Arial"/>
          <w:szCs w:val="21"/>
        </w:rPr>
        <w:t>[2] Karen L. Lewis et al. The Association of Standardized Patient Educators (ASPE) Standards of Best Practice (SOBP). Advances in Simulation 2:10, 2017.</w:t>
      </w:r>
      <w:bookmarkEnd w:id="2"/>
    </w:p>
    <w:p>
      <w:pPr>
        <w:keepNext/>
        <w:spacing w:after="120" w:line="276" w:lineRule="auto"/>
      </w:pPr>
      <w:r>
        <w:rPr>
          <w:sz w:val="21"/>
          <w:rFonts w:ascii="Arial" w:hAnsi="Arial" w:eastAsia="Arial" w:cs="Arial"/>
          <w:szCs w:val="21"/>
        </w:rPr>
        <w:t>PDF pages 5–6, §§2.2.8–2.2.10 and §3.4: supports standardised role performance, consistent briefing, and accurate assessment; it does not prescribe participant numbers.</w:t>
      </w:r>
    </w:p>
    <w:p>
      <w:pPr>
        <w:spacing w:after="120" w:line="276" w:lineRule="auto"/>
      </w:pPr>
      <w:r>
        <w:rPr>
          <w:rFonts w:ascii="Arial" w:hAnsi="Arial" w:eastAsia="Arial" w:cs="Arial"/>
          <w:sz w:val="21"/>
          <w:szCs w:val="21"/>
        </w:rPr>
      </w:r>
      <w:hyperlink r:id="rId21">
        <w:r>
          <w:rPr>
            <w:color w:val="184E7B"/>
            <w:u w:val="single"/>
            <w:sz w:val="20"/>
            <w:rFonts w:ascii="Arial" w:hAnsi="Arial" w:eastAsia="Arial" w:cs="Arial"/>
            <w:szCs w:val="20"/>
          </w:rPr>
          <w:t>Original paper or official source</w:t>
        </w:r>
      </w:hyperlink>
      <w:r>
        <w:rPr>
          <w:rFonts w:ascii="Arial" w:hAnsi="Arial" w:eastAsia="Arial" w:cs="Arial"/>
          <w:sz w:val="21"/>
          <w:szCs w:val="21"/>
        </w:rPr>
        <w:t xml:space="preserve">　</w:t>
      </w:r>
      <w:hyperlink r:id="rId22">
        <w:r>
          <w:rPr>
            <w:color w:val="184E7B"/>
            <w:u w:val="single"/>
            <w:sz w:val="20"/>
            <w:rFonts w:ascii="Arial" w:hAnsi="Arial" w:eastAsia="Arial" w:cs="Arial"/>
            <w:szCs w:val="20"/>
          </w:rPr>
          <w:t>Local full text</w:t>
        </w:r>
      </w:hyperlink>
      <w:r>
        <w:rPr>
          <w:rFonts w:ascii="Arial" w:hAnsi="Arial" w:eastAsia="Arial" w:cs="Arial"/>
          <w:sz w:val="21"/>
          <w:szCs w:val="21"/>
        </w:rPr>
        <w:t xml:space="preserve">　</w:t>
      </w:r>
      <w:hyperlink r:id="rId23">
        <w:r>
          <w:rPr>
            <w:color w:val="184E7B"/>
            <w:u w:val="single"/>
            <w:sz w:val="20"/>
            <w:rFonts w:ascii="Arial" w:hAnsi="Arial" w:eastAsia="Arial" w:cs="Arial"/>
            <w:szCs w:val="20"/>
          </w:rPr>
          <w:t>Source locations and reading notes</w:t>
        </w:r>
      </w:hyperlink>
    </w:p>
    <w:p>
      <w:bookmarkStart w:id="3" w:name="ref_R03"/>
      <w:pPr>
        <w:keepNext/>
        <w:spacing w:after="120" w:line="276" w:lineRule="auto"/>
      </w:pPr>
      <w:r>
        <w:rPr>
          <w:sz w:val="21"/>
          <w:rFonts w:ascii="Arial" w:hAnsi="Arial" w:eastAsia="Arial" w:cs="Arial"/>
          <w:szCs w:val="21"/>
        </w:rPr>
        <w:t>[3] S. Bakhaya, E. C. Lehnbom et al. Development and evaluation of AI chatbot tool for written communication training in self-care: Experiences of pharmacy students and faculty. Currents in Pharmacy Teaching and Learning, 2026.</w:t>
      </w:r>
      <w:bookmarkEnd w:id="3"/>
    </w:p>
    <w:p>
      <w:pPr>
        <w:keepNext/>
        <w:spacing w:after="120" w:line="276" w:lineRule="auto"/>
      </w:pPr>
      <w:r>
        <w:rPr>
          <w:sz w:val="21"/>
          <w:rFonts w:ascii="Arial" w:hAnsi="Arial" w:eastAsia="Arial" w:cs="Arial"/>
          <w:szCs w:val="21"/>
        </w:rPr>
        <w:t>PDF page 5, "Variation matters" and "Feeling seen": qualitative findings from nine students and five teachers, rather than estimates of error frequency.</w:t>
      </w:r>
    </w:p>
    <w:p>
      <w:pPr>
        <w:spacing w:after="120" w:line="276" w:lineRule="auto"/>
      </w:pPr>
      <w:r>
        <w:rPr>
          <w:rFonts w:ascii="Arial" w:hAnsi="Arial" w:eastAsia="Arial" w:cs="Arial"/>
          <w:sz w:val="21"/>
          <w:szCs w:val="21"/>
        </w:rPr>
      </w:r>
      <w:hyperlink r:id="rId24">
        <w:r>
          <w:rPr>
            <w:color w:val="184E7B"/>
            <w:u w:val="single"/>
            <w:sz w:val="20"/>
            <w:rFonts w:ascii="Arial" w:hAnsi="Arial" w:eastAsia="Arial" w:cs="Arial"/>
            <w:szCs w:val="20"/>
          </w:rPr>
          <w:t>Original paper or official source</w:t>
        </w:r>
      </w:hyperlink>
      <w:r>
        <w:rPr>
          <w:rFonts w:ascii="Arial" w:hAnsi="Arial" w:eastAsia="Arial" w:cs="Arial"/>
          <w:sz w:val="21"/>
          <w:szCs w:val="21"/>
        </w:rPr>
        <w:t xml:space="preserve">　</w:t>
      </w:r>
      <w:hyperlink r:id="rId25">
        <w:r>
          <w:rPr>
            <w:color w:val="184E7B"/>
            <w:u w:val="single"/>
            <w:sz w:val="20"/>
            <w:rFonts w:ascii="Arial" w:hAnsi="Arial" w:eastAsia="Arial" w:cs="Arial"/>
            <w:szCs w:val="20"/>
          </w:rPr>
          <w:t>Local full text</w:t>
        </w:r>
      </w:hyperlink>
      <w:r>
        <w:rPr>
          <w:rFonts w:ascii="Arial" w:hAnsi="Arial" w:eastAsia="Arial" w:cs="Arial"/>
          <w:sz w:val="21"/>
          <w:szCs w:val="21"/>
        </w:rPr>
        <w:t xml:space="preserve">　</w:t>
      </w:r>
      <w:hyperlink r:id="rId26">
        <w:r>
          <w:rPr>
            <w:color w:val="184E7B"/>
            <w:u w:val="single"/>
            <w:sz w:val="20"/>
            <w:rFonts w:ascii="Arial" w:hAnsi="Arial" w:eastAsia="Arial" w:cs="Arial"/>
            <w:szCs w:val="20"/>
          </w:rPr>
          <w:t>Source locations and reading notes</w:t>
        </w:r>
      </w:hyperlink>
    </w:p>
    <w:p>
      <w:bookmarkStart w:id="4" w:name="ref_R34"/>
      <w:pPr>
        <w:keepNext/>
        <w:spacing w:after="120" w:line="276" w:lineRule="auto"/>
      </w:pPr>
      <w:r>
        <w:rPr>
          <w:sz w:val="21"/>
          <w:rFonts w:ascii="Arial" w:hAnsi="Arial" w:eastAsia="Arial" w:cs="Arial"/>
          <w:szCs w:val="21"/>
        </w:rPr>
        <w:t>[4] Yann Hicke, Jadon Geathers et al. MedSimAI: Simulation and Formative Feedback Generation to Enhance Deliberate Practice in Medical Education. LAK, 2026.</w:t>
      </w:r>
      <w:bookmarkEnd w:id="4"/>
    </w:p>
    <w:p>
      <w:pPr>
        <w:keepNext/>
        <w:spacing w:after="120" w:line="276" w:lineRule="auto"/>
      </w:pPr>
      <w:r>
        <w:rPr>
          <w:sz w:val="21"/>
          <w:rFonts w:ascii="Arial" w:hAnsi="Arial" w:eastAsia="Arial" w:cs="Arial"/>
          <w:szCs w:val="21"/>
        </w:rPr>
        <w:t>Author manuscript, PDF pages 5–7, §§4.1–4.2, §5.1.2, and §5.2.3: structured role definitions, the full conversation history, and item-level rubrics form a credible strong baseline. The method already cites supporting evidence and must not be described as entirely unconstrained.</w:t>
      </w:r>
    </w:p>
    <w:p>
      <w:pPr>
        <w:spacing w:after="120" w:line="276" w:lineRule="auto"/>
      </w:pPr>
      <w:r>
        <w:rPr>
          <w:rFonts w:ascii="Arial" w:hAnsi="Arial" w:eastAsia="Arial" w:cs="Arial"/>
          <w:sz w:val="21"/>
          <w:szCs w:val="21"/>
        </w:rPr>
      </w:r>
      <w:hyperlink r:id="rId27">
        <w:r>
          <w:rPr>
            <w:color w:val="184E7B"/>
            <w:u w:val="single"/>
            <w:sz w:val="20"/>
            <w:rFonts w:ascii="Arial" w:hAnsi="Arial" w:eastAsia="Arial" w:cs="Arial"/>
            <w:szCs w:val="20"/>
          </w:rPr>
          <w:t>Original paper or official source</w:t>
        </w:r>
      </w:hyperlink>
      <w:r>
        <w:rPr>
          <w:rFonts w:ascii="Arial" w:hAnsi="Arial" w:eastAsia="Arial" w:cs="Arial"/>
          <w:sz w:val="21"/>
          <w:szCs w:val="21"/>
        </w:rPr>
        <w:t xml:space="preserve">　</w:t>
      </w:r>
      <w:hyperlink r:id="rId28">
        <w:r>
          <w:rPr>
            <w:color w:val="184E7B"/>
            <w:u w:val="single"/>
            <w:sz w:val="20"/>
            <w:rFonts w:ascii="Arial" w:hAnsi="Arial" w:eastAsia="Arial" w:cs="Arial"/>
            <w:szCs w:val="20"/>
          </w:rPr>
          <w:t>Local full text</w:t>
        </w:r>
      </w:hyperlink>
      <w:r>
        <w:rPr>
          <w:rFonts w:ascii="Arial" w:hAnsi="Arial" w:eastAsia="Arial" w:cs="Arial"/>
          <w:sz w:val="21"/>
          <w:szCs w:val="21"/>
        </w:rPr>
        <w:t xml:space="preserve">　</w:t>
      </w:r>
      <w:hyperlink r:id="rId29">
        <w:r>
          <w:rPr>
            <w:color w:val="184E7B"/>
            <w:u w:val="single"/>
            <w:sz w:val="20"/>
            <w:rFonts w:ascii="Arial" w:hAnsi="Arial" w:eastAsia="Arial" w:cs="Arial"/>
            <w:szCs w:val="20"/>
          </w:rPr>
          <w:t>Source locations and reading notes</w:t>
        </w:r>
      </w:hyperlink>
    </w:p>
    <w:p>
      <w:bookmarkStart w:id="5" w:name="ref_SOURIAL"/>
      <w:pPr>
        <w:keepNext/>
        <w:spacing w:after="120" w:line="276" w:lineRule="auto"/>
      </w:pPr>
      <w:r>
        <w:rPr>
          <w:sz w:val="21"/>
          <w:rFonts w:ascii="Arial" w:hAnsi="Arial" w:eastAsia="Arial" w:cs="Arial"/>
          <w:szCs w:val="21"/>
        </w:rPr>
        <w:t>[5] M. Sourial, J. C. Hagler. A Pilot Study Using Artificial Intelligence to Enhance Efficiency, Accuracy, and Objectivity in Grading Pharmacy Objective Structured Clinical Examinations. AJPE 89(8):101455, 2025.</w:t>
      </w:r>
      <w:bookmarkEnd w:id="5"/>
    </w:p>
    <w:p>
      <w:pPr>
        <w:keepNext/>
        <w:spacing w:after="120" w:line="276" w:lineRule="auto"/>
      </w:pPr>
      <w:r>
        <w:rPr>
          <w:sz w:val="21"/>
          <w:rFonts w:ascii="Arial" w:hAnsi="Arial" w:eastAsia="Arial" w:cs="Arial"/>
          <w:szCs w:val="21"/>
        </w:rPr>
        <w:t>The public abstract confirms that automated assessment in pharmacy has been studied. The full text was not obtained, so its accuracy figures and methodological details are not used to justify this proposal.</w:t>
      </w:r>
    </w:p>
    <w:p>
      <w:pPr>
        <w:spacing w:after="120" w:line="276" w:lineRule="auto"/>
      </w:pPr>
      <w:r>
        <w:rPr>
          <w:rFonts w:ascii="Arial" w:hAnsi="Arial" w:eastAsia="Arial" w:cs="Arial"/>
          <w:sz w:val="21"/>
          <w:szCs w:val="21"/>
        </w:rPr>
      </w:r>
      <w:hyperlink r:id="rId30">
        <w:r>
          <w:rPr>
            <w:color w:val="184E7B"/>
            <w:u w:val="single"/>
            <w:sz w:val="20"/>
            <w:rFonts w:ascii="Arial" w:hAnsi="Arial" w:eastAsia="Arial" w:cs="Arial"/>
            <w:szCs w:val="20"/>
          </w:rPr>
          <w:t>Original paper or official source</w:t>
        </w:r>
      </w:hyperlink>
      <w:r>
        <w:rPr>
          <w:rFonts w:ascii="Arial" w:hAnsi="Arial" w:eastAsia="Arial" w:cs="Arial"/>
          <w:sz w:val="21"/>
          <w:szCs w:val="21"/>
        </w:rPr>
        <w:t xml:space="preserve">　</w:t>
      </w:r>
      <w:hyperlink r:id="rId31">
        <w:r>
          <w:rPr>
            <w:color w:val="184E7B"/>
            <w:u w:val="single"/>
            <w:sz w:val="20"/>
            <w:rFonts w:ascii="Arial" w:hAnsi="Arial" w:eastAsia="Arial" w:cs="Arial"/>
            <w:szCs w:val="20"/>
          </w:rPr>
          <w:t>Official abstract</w:t>
        </w:r>
      </w:hyperlink>
    </w:p>
    <w:p>
      <w:bookmarkStart w:id="6" w:name="ref_R14"/>
      <w:pPr>
        <w:keepNext/>
        <w:spacing w:after="120" w:line="276" w:lineRule="auto"/>
      </w:pPr>
      <w:r>
        <w:rPr>
          <w:sz w:val="21"/>
          <w:rFonts w:ascii="Arial" w:hAnsi="Arial" w:eastAsia="Arial" w:cs="Arial"/>
          <w:szCs w:val="21"/>
        </w:rPr>
        <w:t>[6] Tian Huang, Tom Bourgeade et al. LLM-Based Data Generation and Clinical Skills Evaluation for Low-Resource French OSCEs. LREC, 2026.</w:t>
      </w:r>
      <w:bookmarkEnd w:id="6"/>
    </w:p>
    <w:p>
      <w:pPr>
        <w:keepNext/>
        <w:spacing w:after="120" w:line="276" w:lineRule="auto"/>
      </w:pPr>
      <w:r>
        <w:rPr>
          <w:sz w:val="21"/>
          <w:rFonts w:ascii="Arial" w:hAnsi="Arial" w:eastAsia="Arial" w:cs="Arial"/>
          <w:szCs w:val="21"/>
        </w:rPr>
        <w:t>PDF page 5, §3.2: information appearing in a dialogue differs from information actively elicited by the student. PDF page 6, §4.3: decomposing composite rules into individual criteria. The study's test–retest consistency does not establish agreement with CUHK faculty.</w:t>
      </w:r>
    </w:p>
    <w:p>
      <w:pPr>
        <w:spacing w:after="120" w:line="276" w:lineRule="auto"/>
      </w:pPr>
      <w:r>
        <w:rPr>
          <w:rFonts w:ascii="Arial" w:hAnsi="Arial" w:eastAsia="Arial" w:cs="Arial"/>
          <w:sz w:val="21"/>
          <w:szCs w:val="21"/>
        </w:rPr>
      </w:r>
      <w:hyperlink r:id="rId32">
        <w:r>
          <w:rPr>
            <w:color w:val="184E7B"/>
            <w:u w:val="single"/>
            <w:sz w:val="20"/>
            <w:rFonts w:ascii="Arial" w:hAnsi="Arial" w:eastAsia="Arial" w:cs="Arial"/>
            <w:szCs w:val="20"/>
          </w:rPr>
          <w:t>Original paper or official source</w:t>
        </w:r>
      </w:hyperlink>
      <w:r>
        <w:rPr>
          <w:rFonts w:ascii="Arial" w:hAnsi="Arial" w:eastAsia="Arial" w:cs="Arial"/>
          <w:sz w:val="21"/>
          <w:szCs w:val="21"/>
        </w:rPr>
        <w:t xml:space="preserve">　</w:t>
      </w:r>
      <w:hyperlink r:id="rId33">
        <w:r>
          <w:rPr>
            <w:color w:val="184E7B"/>
            <w:u w:val="single"/>
            <w:sz w:val="20"/>
            <w:rFonts w:ascii="Arial" w:hAnsi="Arial" w:eastAsia="Arial" w:cs="Arial"/>
            <w:szCs w:val="20"/>
          </w:rPr>
          <w:t>Local full text</w:t>
        </w:r>
      </w:hyperlink>
      <w:r>
        <w:rPr>
          <w:rFonts w:ascii="Arial" w:hAnsi="Arial" w:eastAsia="Arial" w:cs="Arial"/>
          <w:sz w:val="21"/>
          <w:szCs w:val="21"/>
        </w:rPr>
        <w:t xml:space="preserve">　</w:t>
      </w:r>
      <w:hyperlink r:id="rId34">
        <w:r>
          <w:rPr>
            <w:color w:val="184E7B"/>
            <w:u w:val="single"/>
            <w:sz w:val="20"/>
            <w:rFonts w:ascii="Arial" w:hAnsi="Arial" w:eastAsia="Arial" w:cs="Arial"/>
            <w:szCs w:val="20"/>
          </w:rPr>
          <w:t>Source locations and reading notes</w:t>
        </w:r>
      </w:hyperlink>
    </w:p>
    <w:p>
      <w:bookmarkStart w:id="7" w:name="ref_R23"/>
      <w:pPr>
        <w:keepNext/>
        <w:spacing w:after="120" w:line="276" w:lineRule="auto"/>
      </w:pPr>
      <w:r>
        <w:rPr>
          <w:sz w:val="21"/>
          <w:rFonts w:ascii="Arial" w:hAnsi="Arial" w:eastAsia="Arial" w:cs="Arial"/>
          <w:szCs w:val="21"/>
        </w:rPr>
        <w:t>[7] CMM in Primary Care Research Team. The Patient Care Process for Delivering Comprehensive Medication Management (CMM): Optimizing Medication Use in Patient-Centered, Team-Based Care Settings. ACCP public professional practice document; not an algorithm evaluation study, 2018.</w:t>
      </w:r>
      <w:bookmarkEnd w:id="7"/>
    </w:p>
    <w:p>
      <w:pPr>
        <w:keepNext/>
        <w:spacing w:after="120" w:line="276" w:lineRule="auto"/>
      </w:pPr>
      <w:r>
        <w:rPr>
          <w:sz w:val="21"/>
          <w:rFonts w:ascii="Arial" w:hAnsi="Arial" w:eastAsia="Arial" w:cs="Arial"/>
          <w:szCs w:val="21"/>
        </w:rPr>
        <w:t>PDF pages 7–8, medication assessment and IESA: indication, effectiveness, safety, and adherence. This is a professional practice document, not an algorithm experiment.</w:t>
      </w:r>
    </w:p>
    <w:p>
      <w:pPr>
        <w:spacing w:after="120" w:line="276" w:lineRule="auto"/>
      </w:pPr>
      <w:r>
        <w:rPr>
          <w:rFonts w:ascii="Arial" w:hAnsi="Arial" w:eastAsia="Arial" w:cs="Arial"/>
          <w:sz w:val="21"/>
          <w:szCs w:val="21"/>
        </w:rPr>
      </w:r>
      <w:hyperlink r:id="rId35">
        <w:r>
          <w:rPr>
            <w:color w:val="184E7B"/>
            <w:u w:val="single"/>
            <w:sz w:val="20"/>
            <w:rFonts w:ascii="Arial" w:hAnsi="Arial" w:eastAsia="Arial" w:cs="Arial"/>
            <w:szCs w:val="20"/>
          </w:rPr>
          <w:t>Original paper or official source</w:t>
        </w:r>
      </w:hyperlink>
      <w:r>
        <w:rPr>
          <w:rFonts w:ascii="Arial" w:hAnsi="Arial" w:eastAsia="Arial" w:cs="Arial"/>
          <w:sz w:val="21"/>
          <w:szCs w:val="21"/>
        </w:rPr>
        <w:t xml:space="preserve">　</w:t>
      </w:r>
      <w:hyperlink r:id="rId36">
        <w:r>
          <w:rPr>
            <w:color w:val="184E7B"/>
            <w:u w:val="single"/>
            <w:sz w:val="20"/>
            <w:rFonts w:ascii="Arial" w:hAnsi="Arial" w:eastAsia="Arial" w:cs="Arial"/>
            <w:szCs w:val="20"/>
          </w:rPr>
          <w:t>Local full text</w:t>
        </w:r>
      </w:hyperlink>
      <w:r>
        <w:rPr>
          <w:rFonts w:ascii="Arial" w:hAnsi="Arial" w:eastAsia="Arial" w:cs="Arial"/>
          <w:sz w:val="21"/>
          <w:szCs w:val="21"/>
        </w:rPr>
        <w:t xml:space="preserve">　</w:t>
      </w:r>
      <w:hyperlink r:id="rId37">
        <w:r>
          <w:rPr>
            <w:color w:val="184E7B"/>
            <w:u w:val="single"/>
            <w:sz w:val="20"/>
            <w:rFonts w:ascii="Arial" w:hAnsi="Arial" w:eastAsia="Arial" w:cs="Arial"/>
            <w:szCs w:val="20"/>
          </w:rPr>
          <w:t>Source locations and reading notes</w:t>
        </w:r>
      </w:hyperlink>
    </w:p>
    <w:p>
      <w:bookmarkStart w:id="8" w:name="ref_R07"/>
      <w:pPr>
        <w:keepNext/>
        <w:spacing w:after="120" w:line="276" w:lineRule="auto"/>
      </w:pPr>
      <w:r>
        <w:rPr>
          <w:sz w:val="21"/>
          <w:rFonts w:ascii="Arial" w:hAnsi="Arial" w:eastAsia="Arial" w:cs="Arial"/>
          <w:szCs w:val="21"/>
        </w:rPr>
        <w:t>[8] Xi Chen, Jie Mu et al. Graph-Structured Rubrics: Compiling Rubrics into Typed Evaluation Graphs for LLM Judges. arXiv preprint, 2026.</w:t>
      </w:r>
      <w:bookmarkEnd w:id="8"/>
    </w:p>
    <w:p>
      <w:pPr>
        <w:keepNext/>
        <w:spacing w:after="120" w:line="276" w:lineRule="auto"/>
      </w:pPr>
      <w:r>
        <w:rPr>
          <w:sz w:val="21"/>
          <w:rFonts w:ascii="Arial" w:hAnsi="Arial" w:eastAsia="Arial" w:cs="Arial"/>
          <w:szCs w:val="21"/>
        </w:rPr>
        <w:t>Public manuscript, PDF pages 3–5, Compile, Execute, and Reduce/Gate: establishes prior work on compiling evaluation criteria into graphs. This source is a preprint.</w:t>
      </w:r>
    </w:p>
    <w:p>
      <w:pPr>
        <w:spacing w:after="120" w:line="276" w:lineRule="auto"/>
      </w:pPr>
      <w:r>
        <w:rPr>
          <w:rFonts w:ascii="Arial" w:hAnsi="Arial" w:eastAsia="Arial" w:cs="Arial"/>
          <w:sz w:val="21"/>
          <w:szCs w:val="21"/>
        </w:rPr>
      </w:r>
      <w:hyperlink r:id="rId38">
        <w:r>
          <w:rPr>
            <w:color w:val="184E7B"/>
            <w:u w:val="single"/>
            <w:sz w:val="20"/>
            <w:rFonts w:ascii="Arial" w:hAnsi="Arial" w:eastAsia="Arial" w:cs="Arial"/>
            <w:szCs w:val="20"/>
          </w:rPr>
          <w:t>Original paper or official source</w:t>
        </w:r>
      </w:hyperlink>
      <w:r>
        <w:rPr>
          <w:rFonts w:ascii="Arial" w:hAnsi="Arial" w:eastAsia="Arial" w:cs="Arial"/>
          <w:sz w:val="21"/>
          <w:szCs w:val="21"/>
        </w:rPr>
        <w:t xml:space="preserve">　</w:t>
      </w:r>
      <w:hyperlink r:id="rId39">
        <w:r>
          <w:rPr>
            <w:color w:val="184E7B"/>
            <w:u w:val="single"/>
            <w:sz w:val="20"/>
            <w:rFonts w:ascii="Arial" w:hAnsi="Arial" w:eastAsia="Arial" w:cs="Arial"/>
            <w:szCs w:val="20"/>
          </w:rPr>
          <w:t>Local full text</w:t>
        </w:r>
      </w:hyperlink>
      <w:r>
        <w:rPr>
          <w:rFonts w:ascii="Arial" w:hAnsi="Arial" w:eastAsia="Arial" w:cs="Arial"/>
          <w:sz w:val="21"/>
          <w:szCs w:val="21"/>
        </w:rPr>
        <w:t xml:space="preserve">　</w:t>
      </w:r>
      <w:hyperlink r:id="rId40">
        <w:r>
          <w:rPr>
            <w:color w:val="184E7B"/>
            <w:u w:val="single"/>
            <w:sz w:val="20"/>
            <w:rFonts w:ascii="Arial" w:hAnsi="Arial" w:eastAsia="Arial" w:cs="Arial"/>
            <w:szCs w:val="20"/>
          </w:rPr>
          <w:t>Source locations and reading notes</w:t>
        </w:r>
      </w:hyperlink>
    </w:p>
    <w:p>
      <w:bookmarkStart w:id="9" w:name="ref_R24"/>
      <w:pPr>
        <w:keepNext/>
        <w:spacing w:after="120" w:line="276" w:lineRule="auto"/>
      </w:pPr>
      <w:r>
        <w:rPr>
          <w:sz w:val="21"/>
          <w:rFonts w:ascii="Arial" w:hAnsi="Arial" w:eastAsia="Arial" w:cs="Arial"/>
          <w:szCs w:val="21"/>
        </w:rPr>
        <w:t>[9] Zirong Chen, Ziyan An et al. LogiDebrief: A Signal-Temporal Logic Based Automated Debriefing Approach with Large Language Models Integration. IJCAI:9582–9590, 2025.</w:t>
      </w:r>
      <w:bookmarkEnd w:id="9"/>
    </w:p>
    <w:p>
      <w:pPr>
        <w:keepNext/>
        <w:spacing w:after="120" w:line="276" w:lineRule="auto"/>
      </w:pPr>
      <w:r>
        <w:rPr>
          <w:sz w:val="21"/>
          <w:rFonts w:ascii="Arial" w:hAnsi="Arial" w:eastAsia="Arial" w:cs="Arial"/>
          <w:szCs w:val="21"/>
        </w:rPr>
        <w:t>PDF page 3, §§4.1–4.2, and page 5, Table 1: both participants' behaviours and their temporal order have been studied. EGJ's proposed extension is to use actual role interventions consistently in subsequent execution and assessment.</w:t>
      </w:r>
    </w:p>
    <w:p>
      <w:pPr>
        <w:spacing w:after="120" w:line="276" w:lineRule="auto"/>
      </w:pPr>
      <w:r>
        <w:rPr>
          <w:rFonts w:ascii="Arial" w:hAnsi="Arial" w:eastAsia="Arial" w:cs="Arial"/>
          <w:sz w:val="21"/>
          <w:szCs w:val="21"/>
        </w:rPr>
      </w:r>
      <w:hyperlink r:id="rId41">
        <w:r>
          <w:rPr>
            <w:color w:val="184E7B"/>
            <w:u w:val="single"/>
            <w:sz w:val="20"/>
            <w:rFonts w:ascii="Arial" w:hAnsi="Arial" w:eastAsia="Arial" w:cs="Arial"/>
            <w:szCs w:val="20"/>
          </w:rPr>
          <w:t>Original paper or official source</w:t>
        </w:r>
      </w:hyperlink>
      <w:r>
        <w:rPr>
          <w:rFonts w:ascii="Arial" w:hAnsi="Arial" w:eastAsia="Arial" w:cs="Arial"/>
          <w:sz w:val="21"/>
          <w:szCs w:val="21"/>
        </w:rPr>
        <w:t xml:space="preserve">　</w:t>
      </w:r>
      <w:hyperlink r:id="rId42">
        <w:r>
          <w:rPr>
            <w:color w:val="184E7B"/>
            <w:u w:val="single"/>
            <w:sz w:val="20"/>
            <w:rFonts w:ascii="Arial" w:hAnsi="Arial" w:eastAsia="Arial" w:cs="Arial"/>
            <w:szCs w:val="20"/>
          </w:rPr>
          <w:t>Local full text</w:t>
        </w:r>
      </w:hyperlink>
      <w:r>
        <w:rPr>
          <w:rFonts w:ascii="Arial" w:hAnsi="Arial" w:eastAsia="Arial" w:cs="Arial"/>
          <w:sz w:val="21"/>
          <w:szCs w:val="21"/>
        </w:rPr>
        <w:t xml:space="preserve">　</w:t>
      </w:r>
      <w:hyperlink r:id="rId43">
        <w:r>
          <w:rPr>
            <w:color w:val="184E7B"/>
            <w:u w:val="single"/>
            <w:sz w:val="20"/>
            <w:rFonts w:ascii="Arial" w:hAnsi="Arial" w:eastAsia="Arial" w:cs="Arial"/>
            <w:szCs w:val="20"/>
          </w:rPr>
          <w:t>Source locations and reading notes</w:t>
        </w:r>
      </w:hyperlink>
    </w:p>
    <w:p>
      <w:bookmarkStart w:id="10" w:name="ref_R17"/>
      <w:pPr>
        <w:keepNext/>
        <w:spacing w:after="120" w:line="276" w:lineRule="auto"/>
      </w:pPr>
      <w:r>
        <w:rPr>
          <w:sz w:val="21"/>
          <w:rFonts w:ascii="Arial" w:hAnsi="Arial" w:eastAsia="Arial" w:cs="Arial"/>
          <w:szCs w:val="21"/>
        </w:rPr>
        <w:t>[10] David A. Cook, Rose Hatala. Validation of educational assessments: a primer for simulation and beyond. Advances in Simulation 1:31, 2016.</w:t>
      </w:r>
      <w:bookmarkEnd w:id="10"/>
    </w:p>
    <w:p>
      <w:pPr>
        <w:keepNext/>
        <w:spacing w:after="120" w:line="276" w:lineRule="auto"/>
      </w:pPr>
      <w:r>
        <w:rPr>
          <w:sz w:val="21"/>
          <w:rFonts w:ascii="Arial" w:hAnsi="Arial" w:eastAsia="Arial" w:cs="Arial"/>
          <w:szCs w:val="21"/>
        </w:rPr>
        <w:t>PDF pages 4 and 6, Tables 3–4: validity evidence must fit the intended assessment use; historical student results cannot directly establish that a new system outperforms human-led assessment.</w:t>
      </w:r>
    </w:p>
    <w:p>
      <w:pPr>
        <w:spacing w:after="120" w:line="276" w:lineRule="auto"/>
      </w:pPr>
      <w:r>
        <w:rPr>
          <w:rFonts w:ascii="Arial" w:hAnsi="Arial" w:eastAsia="Arial" w:cs="Arial"/>
          <w:sz w:val="21"/>
          <w:szCs w:val="21"/>
        </w:rPr>
      </w:r>
      <w:hyperlink r:id="rId44">
        <w:r>
          <w:rPr>
            <w:color w:val="184E7B"/>
            <w:u w:val="single"/>
            <w:sz w:val="20"/>
            <w:rFonts w:ascii="Arial" w:hAnsi="Arial" w:eastAsia="Arial" w:cs="Arial"/>
            <w:szCs w:val="20"/>
          </w:rPr>
          <w:t>Original paper or official source</w:t>
        </w:r>
      </w:hyperlink>
      <w:r>
        <w:rPr>
          <w:rFonts w:ascii="Arial" w:hAnsi="Arial" w:eastAsia="Arial" w:cs="Arial"/>
          <w:sz w:val="21"/>
          <w:szCs w:val="21"/>
        </w:rPr>
        <w:t xml:space="preserve">　</w:t>
      </w:r>
      <w:hyperlink r:id="rId45">
        <w:r>
          <w:rPr>
            <w:color w:val="184E7B"/>
            <w:u w:val="single"/>
            <w:sz w:val="20"/>
            <w:rFonts w:ascii="Arial" w:hAnsi="Arial" w:eastAsia="Arial" w:cs="Arial"/>
            <w:szCs w:val="20"/>
          </w:rPr>
          <w:t>Local full text</w:t>
        </w:r>
      </w:hyperlink>
      <w:r>
        <w:rPr>
          <w:rFonts w:ascii="Arial" w:hAnsi="Arial" w:eastAsia="Arial" w:cs="Arial"/>
          <w:sz w:val="21"/>
          <w:szCs w:val="21"/>
        </w:rPr>
        <w:t xml:space="preserve">　</w:t>
      </w:r>
      <w:hyperlink r:id="rId46">
        <w:r>
          <w:rPr>
            <w:color w:val="184E7B"/>
            <w:u w:val="single"/>
            <w:sz w:val="20"/>
            <w:rFonts w:ascii="Arial" w:hAnsi="Arial" w:eastAsia="Arial" w:cs="Arial"/>
            <w:szCs w:val="20"/>
          </w:rPr>
          <w:t>Source locations and reading notes</w:t>
        </w:r>
      </w:hyperlink>
    </w:p>
    <w:p>
      <w:bookmarkStart w:id="11" w:name="ref_R19"/>
      <w:pPr>
        <w:keepNext/>
        <w:spacing w:after="120" w:line="276" w:lineRule="auto"/>
      </w:pPr>
      <w:r>
        <w:rPr>
          <w:sz w:val="21"/>
          <w:rFonts w:ascii="Arial" w:hAnsi="Arial" w:eastAsia="Arial" w:cs="Arial"/>
          <w:szCs w:val="21"/>
        </w:rPr>
        <w:t>[11] Michael J. Peeters, M. Kenneth Cor et al. Validation Evidence using Generalizability Theory for an Objective Structured Clinical Examination. INNOVATIONS in pharmacy 12(1):15, 2021.</w:t>
      </w:r>
      <w:bookmarkEnd w:id="11"/>
    </w:p>
    <w:p>
      <w:pPr>
        <w:keepNext/>
        <w:spacing w:after="120" w:line="276" w:lineRule="auto"/>
      </w:pPr>
      <w:r>
        <w:rPr>
          <w:sz w:val="21"/>
          <w:rFonts w:ascii="Arial" w:hAnsi="Arial" w:eastAsia="Arial" w:cs="Arial"/>
          <w:szCs w:val="21"/>
        </w:rPr>
        <w:t>PDF page 2, station, assessment, and statistical design; pages 4–5, reliability and limitations. Its 97 participants and 14 stations are specific to that study and cannot be adopted as minimum requirements for this one.</w:t>
      </w:r>
    </w:p>
    <w:p>
      <w:pPr>
        <w:spacing w:after="120" w:line="276" w:lineRule="auto"/>
      </w:pPr>
      <w:r>
        <w:rPr>
          <w:rFonts w:ascii="Arial" w:hAnsi="Arial" w:eastAsia="Arial" w:cs="Arial"/>
          <w:sz w:val="21"/>
          <w:szCs w:val="21"/>
        </w:rPr>
      </w:r>
      <w:hyperlink r:id="rId47">
        <w:r>
          <w:rPr>
            <w:color w:val="184E7B"/>
            <w:u w:val="single"/>
            <w:sz w:val="20"/>
            <w:rFonts w:ascii="Arial" w:hAnsi="Arial" w:eastAsia="Arial" w:cs="Arial"/>
            <w:szCs w:val="20"/>
          </w:rPr>
          <w:t>Original paper or official source</w:t>
        </w:r>
      </w:hyperlink>
      <w:r>
        <w:rPr>
          <w:rFonts w:ascii="Arial" w:hAnsi="Arial" w:eastAsia="Arial" w:cs="Arial"/>
          <w:sz w:val="21"/>
          <w:szCs w:val="21"/>
        </w:rPr>
        <w:t xml:space="preserve">　</w:t>
      </w:r>
      <w:hyperlink r:id="rId48">
        <w:r>
          <w:rPr>
            <w:color w:val="184E7B"/>
            <w:u w:val="single"/>
            <w:sz w:val="20"/>
            <w:rFonts w:ascii="Arial" w:hAnsi="Arial" w:eastAsia="Arial" w:cs="Arial"/>
            <w:szCs w:val="20"/>
          </w:rPr>
          <w:t>Local full text</w:t>
        </w:r>
      </w:hyperlink>
      <w:r>
        <w:rPr>
          <w:rFonts w:ascii="Arial" w:hAnsi="Arial" w:eastAsia="Arial" w:cs="Arial"/>
          <w:sz w:val="21"/>
          <w:szCs w:val="21"/>
        </w:rPr>
        <w:t xml:space="preserve">　</w:t>
      </w:r>
      <w:hyperlink r:id="rId49">
        <w:r>
          <w:rPr>
            <w:color w:val="184E7B"/>
            <w:u w:val="single"/>
            <w:sz w:val="20"/>
            <w:rFonts w:ascii="Arial" w:hAnsi="Arial" w:eastAsia="Arial" w:cs="Arial"/>
            <w:szCs w:val="20"/>
          </w:rPr>
          <w:t>Source locations and reading notes</w:t>
        </w:r>
      </w:hyperlink>
    </w:p>
    <w:p>
      <w:pPr>
        <w:pStyle w:val="Heading1"/>
        <w:pageBreakBefore w:val="0"/>
        <w:spacing w:line="276" w:lineRule="auto" w:after="120"/>
      </w:pPr>
      <w:r>
        <w:rPr>
          <w:rFonts w:ascii="Arial" w:hAnsi="Arial" w:eastAsia="Arial" w:cs="Arial"/>
          <w:sz w:val="26"/>
          <w:szCs w:val="26"/>
        </w:rPr>
        <w:t>References continued</w:t>
      </w:r>
    </w:p>
    <w:p>
      <w:bookmarkStart w:id="12" w:name="ref_R20"/>
      <w:pPr>
        <w:keepNext/>
        <w:spacing w:after="120" w:line="276" w:lineRule="auto"/>
      </w:pPr>
      <w:r>
        <w:rPr>
          <w:sz w:val="21"/>
          <w:rFonts w:ascii="Arial" w:hAnsi="Arial" w:eastAsia="Arial" w:cs="Arial"/>
          <w:szCs w:val="21"/>
        </w:rPr>
        <w:t>[12] Kristin Ashley Garling, Benjamin Wong. An initial reliability analysis of a patient counseling rubric to objectively measure student pharmacist performance. Heliyon 9:e15768, 2023.</w:t>
      </w:r>
      <w:bookmarkEnd w:id="12"/>
    </w:p>
    <w:p>
      <w:pPr>
        <w:keepNext/>
        <w:spacing w:after="120" w:line="276" w:lineRule="auto"/>
      </w:pPr>
      <w:r>
        <w:rPr>
          <w:sz w:val="21"/>
          <w:rFonts w:ascii="Arial" w:hAnsi="Arial" w:eastAsia="Arial" w:cs="Arial"/>
          <w:szCs w:val="21"/>
        </w:rPr>
        <w:t>PDF pages 3–5, §§2.1–2.5 and Table 1: supports using existing counselling rubrics, consistent assessor training, and item-level faculty judgements. The 170 real-patient and 77 simulated-patient consultations do not represent 247 independent students.</w:t>
      </w:r>
    </w:p>
    <w:p>
      <w:pPr>
        <w:spacing w:after="120" w:line="276" w:lineRule="auto"/>
      </w:pPr>
      <w:r>
        <w:rPr>
          <w:rFonts w:ascii="Arial" w:hAnsi="Arial" w:eastAsia="Arial" w:cs="Arial"/>
          <w:sz w:val="21"/>
          <w:szCs w:val="21"/>
        </w:rPr>
      </w:r>
      <w:hyperlink r:id="rId50">
        <w:r>
          <w:rPr>
            <w:color w:val="184E7B"/>
            <w:u w:val="single"/>
            <w:sz w:val="20"/>
            <w:rFonts w:ascii="Arial" w:hAnsi="Arial" w:eastAsia="Arial" w:cs="Arial"/>
            <w:szCs w:val="20"/>
          </w:rPr>
          <w:t>Original paper or official source</w:t>
        </w:r>
      </w:hyperlink>
      <w:r>
        <w:rPr>
          <w:rFonts w:ascii="Arial" w:hAnsi="Arial" w:eastAsia="Arial" w:cs="Arial"/>
          <w:sz w:val="21"/>
          <w:szCs w:val="21"/>
        </w:rPr>
        <w:t xml:space="preserve">　</w:t>
      </w:r>
      <w:hyperlink r:id="rId51">
        <w:r>
          <w:rPr>
            <w:color w:val="184E7B"/>
            <w:u w:val="single"/>
            <w:sz w:val="20"/>
            <w:rFonts w:ascii="Arial" w:hAnsi="Arial" w:eastAsia="Arial" w:cs="Arial"/>
            <w:szCs w:val="20"/>
          </w:rPr>
          <w:t>Local full text</w:t>
        </w:r>
      </w:hyperlink>
      <w:r>
        <w:rPr>
          <w:rFonts w:ascii="Arial" w:hAnsi="Arial" w:eastAsia="Arial" w:cs="Arial"/>
          <w:sz w:val="21"/>
          <w:szCs w:val="21"/>
        </w:rPr>
        <w:t xml:space="preserve">　</w:t>
      </w:r>
      <w:hyperlink r:id="rId52">
        <w:r>
          <w:rPr>
            <w:color w:val="184E7B"/>
            <w:u w:val="single"/>
            <w:sz w:val="20"/>
            <w:rFonts w:ascii="Arial" w:hAnsi="Arial" w:eastAsia="Arial" w:cs="Arial"/>
            <w:szCs w:val="20"/>
          </w:rPr>
          <w:t>Source locations and reading notes</w:t>
        </w:r>
      </w:hyperlink>
    </w:p>
    <w:p>
      <w:bookmarkStart w:id="13" w:name="ref_R27"/>
      <w:pPr>
        <w:keepNext/>
        <w:spacing w:after="120" w:line="276" w:lineRule="auto"/>
      </w:pPr>
      <w:r>
        <w:rPr>
          <w:sz w:val="21"/>
          <w:rFonts w:ascii="Arial" w:hAnsi="Arial" w:eastAsia="Arial" w:cs="Arial"/>
          <w:szCs w:val="21"/>
        </w:rPr>
        <w:t>[13] Hasan Abu-Rasheed, Christian Weber et al. Knowledge Graphs as Context Sources for LLM-Based Explanations of Learning Recommendations. IEEE EDUCON, 2024.</w:t>
      </w:r>
      <w:bookmarkEnd w:id="13"/>
    </w:p>
    <w:p>
      <w:pPr>
        <w:keepNext/>
        <w:spacing w:after="120" w:line="276" w:lineRule="auto"/>
      </w:pPr>
      <w:r>
        <w:rPr>
          <w:sz w:val="21"/>
          <w:rFonts w:ascii="Arial" w:hAnsi="Arial" w:eastAsia="Arial" w:cs="Arial"/>
          <w:szCs w:val="21"/>
        </w:rPr>
        <w:t>Author manuscript, PDF page 4, §§4.1–4.3: compares the same task with and without graph context, and separates technical outcomes from user feedback.</w:t>
      </w:r>
    </w:p>
    <w:p>
      <w:pPr>
        <w:spacing w:after="120" w:line="276" w:lineRule="auto"/>
      </w:pPr>
      <w:r>
        <w:rPr>
          <w:rFonts w:ascii="Arial" w:hAnsi="Arial" w:eastAsia="Arial" w:cs="Arial"/>
          <w:sz w:val="21"/>
          <w:szCs w:val="21"/>
        </w:rPr>
      </w:r>
      <w:hyperlink r:id="rId53">
        <w:r>
          <w:rPr>
            <w:color w:val="184E7B"/>
            <w:u w:val="single"/>
            <w:sz w:val="20"/>
            <w:rFonts w:ascii="Arial" w:hAnsi="Arial" w:eastAsia="Arial" w:cs="Arial"/>
            <w:szCs w:val="20"/>
          </w:rPr>
          <w:t>Original paper or official source</w:t>
        </w:r>
      </w:hyperlink>
      <w:r>
        <w:rPr>
          <w:rFonts w:ascii="Arial" w:hAnsi="Arial" w:eastAsia="Arial" w:cs="Arial"/>
          <w:sz w:val="21"/>
          <w:szCs w:val="21"/>
        </w:rPr>
        <w:t xml:space="preserve">　</w:t>
      </w:r>
      <w:hyperlink r:id="rId54">
        <w:r>
          <w:rPr>
            <w:color w:val="184E7B"/>
            <w:u w:val="single"/>
            <w:sz w:val="20"/>
            <w:rFonts w:ascii="Arial" w:hAnsi="Arial" w:eastAsia="Arial" w:cs="Arial"/>
            <w:szCs w:val="20"/>
          </w:rPr>
          <w:t>Local full text</w:t>
        </w:r>
      </w:hyperlink>
      <w:r>
        <w:rPr>
          <w:rFonts w:ascii="Arial" w:hAnsi="Arial" w:eastAsia="Arial" w:cs="Arial"/>
          <w:sz w:val="21"/>
          <w:szCs w:val="21"/>
        </w:rPr>
        <w:t xml:space="preserve">　</w:t>
      </w:r>
      <w:hyperlink r:id="rId55">
        <w:r>
          <w:rPr>
            <w:color w:val="184E7B"/>
            <w:u w:val="single"/>
            <w:sz w:val="20"/>
            <w:rFonts w:ascii="Arial" w:hAnsi="Arial" w:eastAsia="Arial" w:cs="Arial"/>
            <w:szCs w:val="20"/>
          </w:rPr>
          <w:t>Source locations and reading notes</w:t>
        </w:r>
      </w:hyperlink>
    </w:p>
    <w:p>
      <w:bookmarkStart w:id="14" w:name="ref_R29"/>
      <w:pPr>
        <w:keepNext/>
        <w:spacing w:after="120" w:line="276" w:lineRule="auto"/>
      </w:pPr>
      <w:r>
        <w:rPr>
          <w:sz w:val="21"/>
          <w:rFonts w:ascii="Arial" w:hAnsi="Arial" w:eastAsia="Arial" w:cs="Arial"/>
          <w:szCs w:val="21"/>
        </w:rPr>
        <w:t>[14] Patricia Marybelle Davies, Rebecca Jane Passonneau et al. Analytical Techniques for Developing Argumentative Writing in STEM: A Pilot Study. IEEE Transactions on Education 65(3):373–383, 2022.</w:t>
      </w:r>
      <w:bookmarkEnd w:id="14"/>
    </w:p>
    <w:p>
      <w:pPr>
        <w:keepNext/>
        <w:spacing w:after="120" w:line="276" w:lineRule="auto"/>
      </w:pPr>
      <w:r>
        <w:rPr>
          <w:sz w:val="21"/>
          <w:rFonts w:ascii="Arial" w:hAnsi="Arial" w:eastAsia="Arial" w:cs="Arial"/>
          <w:szCs w:val="21"/>
        </w:rPr>
        <w:t>PDF pages 5 and 7, human reference assessments and Table IV: informs the use of an independent expert reference; essay-specific outcome measures are not transferred to this study.</w:t>
      </w:r>
    </w:p>
    <w:p>
      <w:pPr>
        <w:spacing w:after="120" w:line="276" w:lineRule="auto"/>
      </w:pPr>
      <w:r>
        <w:rPr>
          <w:rFonts w:ascii="Arial" w:hAnsi="Arial" w:eastAsia="Arial" w:cs="Arial"/>
          <w:sz w:val="21"/>
          <w:szCs w:val="21"/>
        </w:rPr>
      </w:r>
      <w:hyperlink r:id="rId56">
        <w:r>
          <w:rPr>
            <w:color w:val="184E7B"/>
            <w:u w:val="single"/>
            <w:sz w:val="20"/>
            <w:rFonts w:ascii="Arial" w:hAnsi="Arial" w:eastAsia="Arial" w:cs="Arial"/>
            <w:szCs w:val="20"/>
          </w:rPr>
          <w:t>Original paper or official source</w:t>
        </w:r>
      </w:hyperlink>
      <w:r>
        <w:rPr>
          <w:rFonts w:ascii="Arial" w:hAnsi="Arial" w:eastAsia="Arial" w:cs="Arial"/>
          <w:sz w:val="21"/>
          <w:szCs w:val="21"/>
        </w:rPr>
        <w:t xml:space="preserve">　</w:t>
      </w:r>
      <w:hyperlink r:id="rId57">
        <w:r>
          <w:rPr>
            <w:color w:val="184E7B"/>
            <w:u w:val="single"/>
            <w:sz w:val="20"/>
            <w:rFonts w:ascii="Arial" w:hAnsi="Arial" w:eastAsia="Arial" w:cs="Arial"/>
            <w:szCs w:val="20"/>
          </w:rPr>
          <w:t>Local full text</w:t>
        </w:r>
      </w:hyperlink>
      <w:r>
        <w:rPr>
          <w:rFonts w:ascii="Arial" w:hAnsi="Arial" w:eastAsia="Arial" w:cs="Arial"/>
          <w:sz w:val="21"/>
          <w:szCs w:val="21"/>
        </w:rPr>
        <w:t xml:space="preserve">　</w:t>
      </w:r>
      <w:hyperlink r:id="rId58">
        <w:r>
          <w:rPr>
            <w:color w:val="184E7B"/>
            <w:u w:val="single"/>
            <w:sz w:val="20"/>
            <w:rFonts w:ascii="Arial" w:hAnsi="Arial" w:eastAsia="Arial" w:cs="Arial"/>
            <w:szCs w:val="20"/>
          </w:rPr>
          <w:t>Source locations and reading notes</w:t>
        </w:r>
      </w:hyperlink>
    </w:p>
    <w:p>
      <w:bookmarkStart w:id="15" w:name="ref_R30"/>
      <w:pPr>
        <w:keepNext/>
        <w:spacing w:after="120" w:line="276" w:lineRule="auto"/>
      </w:pPr>
      <w:r>
        <w:rPr>
          <w:sz w:val="21"/>
          <w:rFonts w:ascii="Arial" w:hAnsi="Arial" w:eastAsia="Arial" w:cs="Arial"/>
          <w:szCs w:val="21"/>
        </w:rPr>
        <w:t>[15] Xueqiao Zhang, Chao Zhang et al. EduPlanner: LLM-Based Multiagent Systems for Customized and Intelligent Instructional Design. IEEE Transactions on Learning Technologies 18:416–427, 2025.</w:t>
      </w:r>
      <w:bookmarkEnd w:id="15"/>
    </w:p>
    <w:p>
      <w:pPr>
        <w:keepNext/>
        <w:spacing w:after="120" w:line="276" w:lineRule="auto"/>
      </w:pPr>
      <w:r>
        <w:rPr>
          <w:sz w:val="21"/>
          <w:rFonts w:ascii="Arial" w:hAnsi="Arial" w:eastAsia="Arial" w:cs="Arial"/>
          <w:szCs w:val="21"/>
        </w:rPr>
        <w:t>Author manuscript, PDF pages 8 and 10, Table II: informs component-level ablation comparisons; instructional-design quality must not be treated as student learning gain.</w:t>
      </w:r>
    </w:p>
    <w:p>
      <w:pPr>
        <w:spacing w:after="120" w:line="276" w:lineRule="auto"/>
      </w:pPr>
      <w:r>
        <w:rPr>
          <w:rFonts w:ascii="Arial" w:hAnsi="Arial" w:eastAsia="Arial" w:cs="Arial"/>
          <w:sz w:val="21"/>
          <w:szCs w:val="21"/>
        </w:rPr>
      </w:r>
      <w:hyperlink r:id="rId59">
        <w:r>
          <w:rPr>
            <w:color w:val="184E7B"/>
            <w:u w:val="single"/>
            <w:sz w:val="20"/>
            <w:rFonts w:ascii="Arial" w:hAnsi="Arial" w:eastAsia="Arial" w:cs="Arial"/>
            <w:szCs w:val="20"/>
          </w:rPr>
          <w:t>Original paper or official source</w:t>
        </w:r>
      </w:hyperlink>
      <w:r>
        <w:rPr>
          <w:rFonts w:ascii="Arial" w:hAnsi="Arial" w:eastAsia="Arial" w:cs="Arial"/>
          <w:sz w:val="21"/>
          <w:szCs w:val="21"/>
        </w:rPr>
        <w:t xml:space="preserve">　</w:t>
      </w:r>
      <w:hyperlink r:id="rId60">
        <w:r>
          <w:rPr>
            <w:color w:val="184E7B"/>
            <w:u w:val="single"/>
            <w:sz w:val="20"/>
            <w:rFonts w:ascii="Arial" w:hAnsi="Arial" w:eastAsia="Arial" w:cs="Arial"/>
            <w:szCs w:val="20"/>
          </w:rPr>
          <w:t>Local full text</w:t>
        </w:r>
      </w:hyperlink>
      <w:r>
        <w:rPr>
          <w:rFonts w:ascii="Arial" w:hAnsi="Arial" w:eastAsia="Arial" w:cs="Arial"/>
          <w:sz w:val="21"/>
          <w:szCs w:val="21"/>
        </w:rPr>
        <w:t xml:space="preserve">　</w:t>
      </w:r>
      <w:hyperlink r:id="rId61">
        <w:r>
          <w:rPr>
            <w:color w:val="184E7B"/>
            <w:u w:val="single"/>
            <w:sz w:val="20"/>
            <w:rFonts w:ascii="Arial" w:hAnsi="Arial" w:eastAsia="Arial" w:cs="Arial"/>
            <w:szCs w:val="20"/>
          </w:rPr>
          <w:t>Source locations and reading notes</w:t>
        </w:r>
      </w:hyperlink>
    </w:p>
    <w:p>
      <w:bookmarkStart w:id="16" w:name="ref_R18"/>
      <w:pPr>
        <w:keepNext/>
        <w:spacing w:after="120" w:line="276" w:lineRule="auto"/>
      </w:pPr>
      <w:r>
        <w:rPr>
          <w:sz w:val="21"/>
          <w:rFonts w:ascii="Arial" w:hAnsi="Arial" w:eastAsia="Arial" w:cs="Arial"/>
          <w:szCs w:val="21"/>
        </w:rPr>
        <w:t>[16] Daniël Lakens. Sample Size Justification. Collabra Psychology 8(1):33267, 2022.</w:t>
      </w:r>
      <w:bookmarkEnd w:id="16"/>
    </w:p>
    <w:p>
      <w:pPr>
        <w:keepNext/>
        <w:spacing w:after="120" w:line="276" w:lineRule="auto"/>
      </w:pPr>
      <w:r>
        <w:rPr>
          <w:sz w:val="21"/>
          <w:rFonts w:ascii="Arial" w:hAnsi="Arial" w:eastAsia="Arial" w:cs="Arial"/>
          <w:szCs w:val="21"/>
        </w:rPr>
        <w:t>PDF pages 4 and 8: resource constraints and precision-based justification. Sixteen students reflects the capacity of this session, not an accepted minimum sufficient to demonstrate a small advantage.</w:t>
      </w:r>
    </w:p>
    <w:p>
      <w:pPr>
        <w:spacing w:after="120" w:line="276" w:lineRule="auto"/>
      </w:pPr>
      <w:r>
        <w:rPr>
          <w:rFonts w:ascii="Arial" w:hAnsi="Arial" w:eastAsia="Arial" w:cs="Arial"/>
          <w:sz w:val="21"/>
          <w:szCs w:val="21"/>
        </w:rPr>
      </w:r>
      <w:hyperlink r:id="rId62">
        <w:r>
          <w:rPr>
            <w:color w:val="184E7B"/>
            <w:u w:val="single"/>
            <w:sz w:val="20"/>
            <w:rFonts w:ascii="Arial" w:hAnsi="Arial" w:eastAsia="Arial" w:cs="Arial"/>
            <w:szCs w:val="20"/>
          </w:rPr>
          <w:t>Original paper or official source</w:t>
        </w:r>
      </w:hyperlink>
      <w:r>
        <w:rPr>
          <w:rFonts w:ascii="Arial" w:hAnsi="Arial" w:eastAsia="Arial" w:cs="Arial"/>
          <w:sz w:val="21"/>
          <w:szCs w:val="21"/>
        </w:rPr>
        <w:t xml:space="preserve">　</w:t>
      </w:r>
      <w:hyperlink r:id="rId63">
        <w:r>
          <w:rPr>
            <w:color w:val="184E7B"/>
            <w:u w:val="single"/>
            <w:sz w:val="20"/>
            <w:rFonts w:ascii="Arial" w:hAnsi="Arial" w:eastAsia="Arial" w:cs="Arial"/>
            <w:szCs w:val="20"/>
          </w:rPr>
          <w:t>Local full text</w:t>
        </w:r>
      </w:hyperlink>
      <w:r>
        <w:rPr>
          <w:rFonts w:ascii="Arial" w:hAnsi="Arial" w:eastAsia="Arial" w:cs="Arial"/>
          <w:sz w:val="21"/>
          <w:szCs w:val="21"/>
        </w:rPr>
        <w:t xml:space="preserve">　</w:t>
      </w:r>
      <w:hyperlink r:id="rId64">
        <w:r>
          <w:rPr>
            <w:color w:val="184E7B"/>
            <w:u w:val="single"/>
            <w:sz w:val="20"/>
            <w:rFonts w:ascii="Arial" w:hAnsi="Arial" w:eastAsia="Arial" w:cs="Arial"/>
            <w:szCs w:val="20"/>
          </w:rPr>
          <w:t>Source locations and reading notes</w:t>
        </w:r>
      </w:hyperlink>
    </w:p>
    <w:p>
      <w:bookmarkStart w:id="17" w:name="ref_R33"/>
      <w:pPr>
        <w:keepNext/>
        <w:spacing w:after="120" w:line="276" w:lineRule="auto"/>
      </w:pPr>
      <w:r>
        <w:rPr>
          <w:sz w:val="21"/>
          <w:rFonts w:ascii="Arial" w:hAnsi="Arial" w:eastAsia="Arial" w:cs="Arial"/>
          <w:szCs w:val="21"/>
        </w:rPr>
        <w:t>[17] Eyman Alyahyan, Mireilla Bikanga Ada et al. Adoption, Usage, and Perceptions of LLM-Generated Feedback in Computer Science Education: A Cross-Cultural Study of Students and Academics. IEEE FIE, 2025.</w:t>
      </w:r>
      <w:bookmarkEnd w:id="17"/>
    </w:p>
    <w:p>
      <w:pPr>
        <w:keepNext/>
        <w:spacing w:after="120" w:line="276" w:lineRule="auto"/>
      </w:pPr>
      <w:r>
        <w:rPr>
          <w:sz w:val="21"/>
          <w:rFonts w:ascii="Arial" w:hAnsi="Arial" w:eastAsia="Arial" w:cs="Arial"/>
          <w:szCs w:val="21"/>
        </w:rPr>
        <w:t>Accepted manuscript, PDF page 3, §IV: questionnaire piloting and separate student and teacher perspectives; satisfaction is not evidence of algorithmic accuracy.</w:t>
      </w:r>
    </w:p>
    <w:p>
      <w:pPr>
        <w:spacing w:after="120" w:line="276" w:lineRule="auto"/>
      </w:pPr>
      <w:r>
        <w:rPr>
          <w:rFonts w:ascii="Arial" w:hAnsi="Arial" w:eastAsia="Arial" w:cs="Arial"/>
          <w:sz w:val="21"/>
          <w:szCs w:val="21"/>
        </w:rPr>
      </w:r>
      <w:hyperlink r:id="rId65">
        <w:r>
          <w:rPr>
            <w:color w:val="184E7B"/>
            <w:u w:val="single"/>
            <w:sz w:val="20"/>
            <w:rFonts w:ascii="Arial" w:hAnsi="Arial" w:eastAsia="Arial" w:cs="Arial"/>
            <w:szCs w:val="20"/>
          </w:rPr>
          <w:t>Original paper or official source</w:t>
        </w:r>
      </w:hyperlink>
      <w:r>
        <w:rPr>
          <w:rFonts w:ascii="Arial" w:hAnsi="Arial" w:eastAsia="Arial" w:cs="Arial"/>
          <w:sz w:val="21"/>
          <w:szCs w:val="21"/>
        </w:rPr>
        <w:t xml:space="preserve">　</w:t>
      </w:r>
      <w:hyperlink r:id="rId66">
        <w:r>
          <w:rPr>
            <w:color w:val="184E7B"/>
            <w:u w:val="single"/>
            <w:sz w:val="20"/>
            <w:rFonts w:ascii="Arial" w:hAnsi="Arial" w:eastAsia="Arial" w:cs="Arial"/>
            <w:szCs w:val="20"/>
          </w:rPr>
          <w:t>Local full text</w:t>
        </w:r>
      </w:hyperlink>
      <w:r>
        <w:rPr>
          <w:rFonts w:ascii="Arial" w:hAnsi="Arial" w:eastAsia="Arial" w:cs="Arial"/>
          <w:sz w:val="21"/>
          <w:szCs w:val="21"/>
        </w:rPr>
        <w:t xml:space="preserve">　</w:t>
      </w:r>
      <w:hyperlink r:id="rId67">
        <w:r>
          <w:rPr>
            <w:color w:val="184E7B"/>
            <w:u w:val="single"/>
            <w:sz w:val="20"/>
            <w:rFonts w:ascii="Arial" w:hAnsi="Arial" w:eastAsia="Arial" w:cs="Arial"/>
            <w:szCs w:val="20"/>
          </w:rPr>
          <w:t>Source locations and reading notes</w:t>
        </w:r>
      </w:hyperlink>
    </w:p>
    <w:p>
      <w:bookmarkStart w:id="18" w:name="ref_PILOT"/>
      <w:pPr>
        <w:keepNext/>
        <w:spacing w:after="120" w:line="276" w:lineRule="auto"/>
      </w:pPr>
      <w:r>
        <w:rPr>
          <w:sz w:val="21"/>
          <w:rFonts w:ascii="Arial" w:hAnsi="Arial" w:eastAsia="Arial" w:cs="Arial"/>
          <w:szCs w:val="21"/>
        </w:rPr>
        <w:t>[18] Sandra M. Eldridge, Claire L. Chan et al. CONSORT 2010 statement: extension to randomised pilot and feasibility trials. Pilot and Feasibility Studies 2:64, 2016.</w:t>
      </w:r>
      <w:bookmarkEnd w:id="18"/>
    </w:p>
    <w:p>
      <w:pPr>
        <w:keepNext/>
        <w:spacing w:after="120" w:line="276" w:lineRule="auto"/>
      </w:pPr>
      <w:r>
        <w:rPr>
          <w:sz w:val="21"/>
          <w:rFonts w:ascii="Arial" w:hAnsi="Arial" w:eastAsia="Arial" w:cs="Arial"/>
          <w:szCs w:val="21"/>
        </w:rPr>
        <w:t>Study objectives and sample-size items 2b and 7a: supports aligning pilot aims with resources and precision. A small educational trial must not be presented as an adequately powered effectiveness study.</w:t>
      </w:r>
    </w:p>
    <w:p>
      <w:pPr>
        <w:spacing w:after="120" w:line="276" w:lineRule="auto"/>
      </w:pPr>
      <w:r>
        <w:rPr>
          <w:rFonts w:ascii="Arial" w:hAnsi="Arial" w:eastAsia="Arial" w:cs="Arial"/>
          <w:sz w:val="21"/>
          <w:szCs w:val="21"/>
        </w:rPr>
      </w:r>
      <w:hyperlink r:id="rId68">
        <w:r>
          <w:rPr>
            <w:color w:val="184E7B"/>
            <w:u w:val="single"/>
            <w:sz w:val="20"/>
            <w:rFonts w:ascii="Arial" w:hAnsi="Arial" w:eastAsia="Arial" w:cs="Arial"/>
            <w:szCs w:val="20"/>
          </w:rPr>
          <w:t>Original paper or official source</w:t>
        </w:r>
      </w:hyperlink>
    </w:p>
    <w:p>
      <w:bookmarkStart w:id="19" w:name="ref_CROSS"/>
      <w:pPr>
        <w:keepNext/>
        <w:spacing w:after="120" w:line="276" w:lineRule="auto"/>
      </w:pPr>
      <w:r>
        <w:rPr>
          <w:sz w:val="21"/>
          <w:rFonts w:ascii="Arial" w:hAnsi="Arial" w:eastAsia="Arial" w:cs="Arial"/>
          <w:szCs w:val="21"/>
        </w:rPr>
        <w:t>[19] Kerry Dwan, Tianjing Li et al. CONSORT 2010 statement: extension to randomised crossover trials. BMJ 366:l4378, 2019.</w:t>
      </w:r>
      <w:bookmarkEnd w:id="19"/>
    </w:p>
    <w:p>
      <w:pPr>
        <w:keepNext/>
        <w:spacing w:after="120" w:line="276" w:lineRule="auto"/>
      </w:pPr>
      <w:r>
        <w:rPr>
          <w:sz w:val="21"/>
          <w:rFonts w:ascii="Arial" w:hAnsi="Arial" w:eastAsia="Arial" w:cs="Arial"/>
          <w:szCs w:val="21"/>
        </w:rPr>
        <w:t>Design and analysis items 3a and 12a: informs randomised order, period effects, and within-participant analysis. Balanced use of two modes on different cases is not a conventional same-condition clinical crossover trial.</w:t>
      </w:r>
    </w:p>
    <w:p>
      <w:pPr>
        <w:spacing w:after="120" w:line="276" w:lineRule="auto"/>
      </w:pPr>
      <w:r>
        <w:rPr>
          <w:rFonts w:ascii="Arial" w:hAnsi="Arial" w:eastAsia="Arial" w:cs="Arial"/>
          <w:sz w:val="21"/>
          <w:szCs w:val="21"/>
        </w:rPr>
      </w:r>
      <w:hyperlink r:id="rId69">
        <w:r>
          <w:rPr>
            <w:color w:val="184E7B"/>
            <w:u w:val="single"/>
            <w:sz w:val="20"/>
            <w:rFonts w:ascii="Arial" w:hAnsi="Arial" w:eastAsia="Arial" w:cs="Arial"/>
            <w:szCs w:val="20"/>
          </w:rPr>
          <w:t>Original paper or official source</w:t>
        </w:r>
      </w:hyperlink>
    </w:p>
    <w:p>
      <w:bookmarkStart w:id="20" w:name="ref_STATCI"/>
      <w:pPr>
        <w:keepNext/>
        <w:spacing w:after="120" w:line="276" w:lineRule="auto"/>
      </w:pPr>
      <w:r>
        <w:rPr>
          <w:sz w:val="21"/>
          <w:rFonts w:ascii="Arial" w:hAnsi="Arial" w:eastAsia="Arial" w:cs="Arial"/>
          <w:szCs w:val="21"/>
        </w:rPr>
        <w:t>[20] L. D. Brown, T. T. Cai et al. Interval Estimation for a Binomial Proportion. Statistical Science 16(2):101–133, 2001.</w:t>
      </w:r>
      <w:bookmarkEnd w:id="20"/>
    </w:p>
    <w:p>
      <w:pPr>
        <w:keepNext/>
        <w:spacing w:after="120" w:line="276" w:lineRule="auto"/>
      </w:pPr>
      <w:r>
        <w:rPr>
          <w:sz w:val="21"/>
          <w:rFonts w:ascii="Arial" w:hAnsi="Arial" w:eastAsia="Arial" w:cs="Arial"/>
          <w:szCs w:val="21"/>
        </w:rPr>
        <w:t>§2: supports Wilson intervals and discussion of small-sample precision; it does not address correlation between repeated observations from the same student.</w:t>
      </w:r>
    </w:p>
    <w:p>
      <w:pPr>
        <w:spacing w:after="120" w:line="276" w:lineRule="auto"/>
      </w:pPr>
      <w:r>
        <w:rPr>
          <w:rFonts w:ascii="Arial" w:hAnsi="Arial" w:eastAsia="Arial" w:cs="Arial"/>
          <w:sz w:val="21"/>
          <w:szCs w:val="21"/>
        </w:rPr>
      </w:r>
      <w:hyperlink r:id="rId70">
        <w:r>
          <w:rPr>
            <w:color w:val="184E7B"/>
            <w:u w:val="single"/>
            <w:sz w:val="20"/>
            <w:rFonts w:ascii="Arial" w:hAnsi="Arial" w:eastAsia="Arial" w:cs="Arial"/>
            <w:szCs w:val="20"/>
          </w:rPr>
          <w:t>Original paper or official source</w:t>
        </w:r>
      </w:hyperlink>
      <w:r>
        <w:rPr>
          <w:rFonts w:ascii="Arial" w:hAnsi="Arial" w:eastAsia="Arial" w:cs="Arial"/>
          <w:sz w:val="21"/>
          <w:szCs w:val="21"/>
        </w:rPr>
        <w:t xml:space="preserve">　</w:t>
      </w:r>
      <w:hyperlink r:id="rId71">
        <w:r>
          <w:rPr>
            <w:color w:val="184E7B"/>
            <w:u w:val="single"/>
            <w:sz w:val="20"/>
            <w:rFonts w:ascii="Arial" w:hAnsi="Arial" w:eastAsia="Arial" w:cs="Arial"/>
            <w:szCs w:val="20"/>
          </w:rPr>
          <w:t>Public author manuscript</w:t>
        </w:r>
      </w:hyperlink>
    </w:p>
    <w:p>
      <w:bookmarkStart w:id="21" w:name="ref_STATMC"/>
      <w:pPr>
        <w:keepNext/>
        <w:spacing w:after="120" w:line="276" w:lineRule="auto"/>
      </w:pPr>
      <w:r>
        <w:rPr>
          <w:sz w:val="21"/>
          <w:rFonts w:ascii="Arial" w:hAnsi="Arial" w:eastAsia="Arial" w:cs="Arial"/>
          <w:szCs w:val="21"/>
        </w:rPr>
        <w:t>[21] M. W. Fagerland, S. Lydersen et al. The McNemar test for binary matched-pairs data: mid-p and asymptotic are better than exact conditional. BMC Medical Research Methodology 13:91, 2013.</w:t>
      </w:r>
      <w:bookmarkEnd w:id="21"/>
    </w:p>
    <w:p>
      <w:pPr>
        <w:keepNext/>
        <w:spacing w:after="120" w:line="276" w:lineRule="auto"/>
      </w:pPr>
      <w:r>
        <w:rPr>
          <w:sz w:val="21"/>
          <w:rFonts w:ascii="Arial" w:hAnsi="Arial" w:eastAsia="Arial" w:cs="Arial"/>
          <w:szCs w:val="21"/>
        </w:rPr>
        <w:t>Methods and Discussion: applies to independent binary pairs; multiple item-level judgements from the same student must not be treated as independent pairs.</w:t>
      </w:r>
    </w:p>
    <w:p>
      <w:pPr>
        <w:spacing w:after="120" w:line="276" w:lineRule="auto"/>
      </w:pPr>
      <w:r>
        <w:rPr>
          <w:rFonts w:ascii="Arial" w:hAnsi="Arial" w:eastAsia="Arial" w:cs="Arial"/>
          <w:sz w:val="21"/>
          <w:szCs w:val="21"/>
        </w:rPr>
      </w:r>
      <w:hyperlink r:id="rId72">
        <w:r>
          <w:rPr>
            <w:color w:val="184E7B"/>
            <w:u w:val="single"/>
            <w:sz w:val="20"/>
            <w:rFonts w:ascii="Arial" w:hAnsi="Arial" w:eastAsia="Arial" w:cs="Arial"/>
            <w:szCs w:val="20"/>
          </w:rPr>
          <w:t>Original paper or official source</w:t>
        </w:r>
      </w:hyperlink>
    </w:p>
    <w:p>
      <w:bookmarkStart w:id="22" w:name="ref_IEEE"/>
      <w:pPr>
        <w:keepNext/>
        <w:spacing w:after="120" w:line="276" w:lineRule="auto"/>
      </w:pPr>
      <w:r>
        <w:rPr>
          <w:sz w:val="21"/>
          <w:rFonts w:ascii="Arial" w:hAnsi="Arial" w:eastAsia="Arial" w:cs="Arial"/>
          <w:szCs w:val="21"/>
        </w:rPr>
        <w:t>[22] IEEE Author Center. Submission and Peer Review Policies. Policies on submission and reuse of content; accessed 4 October 2026.</w:t>
      </w:r>
      <w:bookmarkEnd w:id="22"/>
    </w:p>
    <w:p>
      <w:pPr>
        <w:keepNext/>
        <w:spacing w:after="120" w:line="276" w:lineRule="auto"/>
      </w:pPr>
      <w:r>
        <w:rPr>
          <w:sz w:val="21"/>
          <w:rFonts w:ascii="Arial" w:hAnsi="Arial" w:eastAsia="Arial" w:cs="Arial"/>
          <w:szCs w:val="21"/>
        </w:rPr>
        <w:t>Submission and Recycling Content: related manuscripts using shared data must add substantial new content and disclose the overlap.</w:t>
      </w:r>
    </w:p>
    <w:p>
      <w:pPr>
        <w:spacing w:after="120" w:line="276" w:lineRule="auto"/>
      </w:pPr>
      <w:r>
        <w:rPr>
          <w:rFonts w:ascii="Arial" w:hAnsi="Arial" w:eastAsia="Arial" w:cs="Arial"/>
          <w:sz w:val="21"/>
          <w:szCs w:val="21"/>
        </w:rPr>
      </w:r>
      <w:hyperlink r:id="rId73">
        <w:r>
          <w:rPr>
            <w:color w:val="184E7B"/>
            <w:u w:val="single"/>
            <w:sz w:val="20"/>
            <w:rFonts w:ascii="Arial" w:hAnsi="Arial" w:eastAsia="Arial" w:cs="Arial"/>
            <w:szCs w:val="20"/>
          </w:rPr>
          <w:t>Original paper or official source</w:t>
        </w:r>
      </w:hyperlink>
    </w:p>
    <w:p>
      <w:pPr>
        <w:pStyle w:val="Heading1"/>
        <w:pageBreakBefore w:val="1"/>
        <w:spacing w:line="246" w:lineRule="auto" w:after="80"/>
      </w:pPr>
      <w:r>
        <w:rPr>
          <w:rFonts w:ascii="Arial" w:hAnsi="Arial" w:eastAsia="Arial" w:cs="Arial"/>
          <w:sz w:val="26"/>
          <w:szCs w:val="26"/>
        </w:rPr>
        <w:t>Appendix A. Faculty Role-Compliance Review Form</w:t>
      </w:r>
    </w:p>
    <w:p>
      <w:pPr>
        <w:spacing w:line="246" w:lineRule="auto" w:after="80"/>
      </w:pPr>
      <w:r>
        <w:rPr>
          <w:rFonts w:ascii="Arial" w:hAnsi="Arial" w:eastAsia="Arial" w:cs="Arial"/>
          <w:sz w:val="21"/>
          <w:szCs w:val="21"/>
        </w:rPr>
        <w:t>Complete one form for each live consultation. For the identical-input comparison, complete a separate form for each anonymised response. The research team supplies the full preceding context and audio timestamps, with the method names hidden. Select one judgement in each of the five categories and record a quotation or timestamp and a brief reason for every category. Additional issues can be entered in the same field.</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2"/>
        <w:gridCol w:w="2312"/>
        <w:gridCol w:w="2368"/>
        <w:gridCol w:w="2368"/>
      </w:tblGrid>
      <w:tr>
        <w:trPr>
          <w:cantSplit/>
          <w:tblHeader/>
        </w:trPr>
        <w:tc>
          <w:tcPr>
            <w:tcW w:type="dxa" w:w="2312"/>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Record ID</w:t>
            </w:r>
          </w:p>
        </w:tc>
        <w:tc>
          <w:tcPr>
            <w:tcW w:type="dxa" w:w="2312"/>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Station</w:t>
            </w:r>
          </w:p>
        </w:tc>
        <w:tc>
          <w:tcPr>
            <w:tcW w:type="dxa" w:w="236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Faculty or student ID</w:t>
            </w:r>
          </w:p>
        </w:tc>
        <w:tc>
          <w:tcPr>
            <w:tcW w:type="dxa" w:w="236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Date</w:t>
            </w:r>
          </w:p>
        </w:tc>
      </w:tr>
      <w:tr>
        <w:trPr>
          <w:cantSplit/>
        </w:trPr>
        <w:tc>
          <w:tcPr>
            <w:tcW w:type="dxa" w:w="231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001"/>
                <w:tag w:val="role_meta_0"/>
                <w:alias w:val="role_meta_0"/>
                <w:text w:multiLine="1"/>
              </w:sdtPr>
              <w:sdtContent>
                <w:r>
                  <w:rPr>
                    <w:sz w:val="21"/>
                    <w:rFonts w:eastAsia="Arial" w:ascii="Arial" w:hAnsi="Arial" w:cs="Arial"/>
                    <w:szCs w:val="21"/>
                  </w:rPr>
                  <w:t xml:space="preserve">____________</w:t>
                </w:r>
              </w:sdtContent>
            </w:sdt>
          </w:p>
        </w:tc>
        <w:tc>
          <w:tcPr>
            <w:tcW w:type="dxa" w:w="231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002"/>
                <w:tag w:val="role_meta_1"/>
                <w:alias w:val="role_meta_1"/>
                <w:text w:multiLine="1"/>
              </w:sdtPr>
              <w:sdtContent>
                <w:r>
                  <w:rPr>
                    <w:sz w:val="21"/>
                    <w:rFonts w:eastAsia="Arial" w:ascii="Arial" w:hAnsi="Arial" w:cs="Arial"/>
                    <w:szCs w:val="21"/>
                  </w:rPr>
                  <w:t xml:space="preserve">____________</w:t>
                </w:r>
              </w:sdtContent>
            </w:sdt>
          </w:p>
        </w:tc>
        <w:tc>
          <w:tcPr>
            <w:tcW w:type="dxa" w:w="236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003"/>
                <w:tag w:val="role_meta_2"/>
                <w:alias w:val="role_meta_2"/>
                <w:text w:multiLine="1"/>
              </w:sdtPr>
              <w:sdtContent>
                <w:r>
                  <w:rPr>
                    <w:sz w:val="21"/>
                    <w:rFonts w:eastAsia="Arial" w:ascii="Arial" w:hAnsi="Arial" w:cs="Arial"/>
                    <w:szCs w:val="21"/>
                  </w:rPr>
                  <w:t xml:space="preserve">____________</w:t>
                </w:r>
              </w:sdtContent>
            </w:sdt>
          </w:p>
        </w:tc>
        <w:tc>
          <w:tcPr>
            <w:tcW w:type="dxa" w:w="236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004"/>
                <w:tag w:val="role_meta_3"/>
                <w:alias w:val="role_meta_3"/>
                <w:text w:multiLine="1"/>
              </w:sdtPr>
              <w:sdtContent>
                <w:r>
                  <w:rPr>
                    <w:sz w:val="21"/>
                    <w:rFonts w:eastAsia="Arial" w:ascii="Arial" w:hAnsi="Arial" w:cs="Arial"/>
                    <w:szCs w:val="21"/>
                  </w:rPr>
                  <w:t xml:space="preserve">____________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trPr>
          <w:cantSplit/>
          <w:tblHeader/>
        </w:trPr>
        <w:tc>
          <w:tcPr>
            <w:tcW w:type="dxa" w:w="9360"/>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Review scope and recording location</w:t>
            </w:r>
          </w:p>
        </w:tc>
      </w:tr>
      <w:tr>
        <w:trPr>
          <w:cantSplit/>
        </w:trPr>
        <w:tc>
          <w:tcPr>
            <w:tcW w:type="dxa" w:w="9360"/>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005"/>
                <w:tag w:val="role_scope_0"/>
                <w:alias w:val="role_scope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Whole consultation  </w:t>
            </w:r>
            <w:r>
              <w:br/>
            </w:r>
            <w:sdt>
              <w:sdtPr>
                <w:id w:val="1006"/>
                <w:tag w:val="role_scope_1"/>
                <w:alias w:val="role_scope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First response after the fixed preceding context  </w:t>
            </w:r>
          </w:p>
          <w:p>
            <w:pPr>
              <w:spacing w:after="30" w:line="246" w:lineRule="auto"/>
            </w:pPr>
            <w:r>
              <w:rPr>
                <w:sz w:val="21"/>
                <w:rFonts w:ascii="Arial" w:hAnsi="Arial" w:eastAsia="Arial" w:cs="Arial"/>
                <w:szCs w:val="21"/>
              </w:rPr>
              <w:t>Start/end or response timestamp:</w:t>
            </w:r>
            <w:sdt>
              <w:sdtPr>
                <w:id w:val="1007"/>
                <w:tag w:val="role_scope_time"/>
                <w:alias w:val="role_scope_time"/>
                <w:text w:multiLine="1"/>
              </w:sdtPr>
              <w:sdtContent>
                <w:r>
                  <w:rPr>
                    <w:sz w:val="21"/>
                    <w:rFonts w:eastAsia="Arial" w:ascii="Arial" w:hAnsi="Arial" w:cs="Arial"/>
                    <w:szCs w:val="21"/>
                  </w:rPr>
                  <w:t xml:space="preserve">__________________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2368"/>
        <w:gridCol w:w="3249"/>
      </w:tblGrid>
      <w:tr>
        <w:trPr>
          <w:cantSplit/>
          <w:tblHeader/>
        </w:trPr>
        <w:tc>
          <w:tcPr>
            <w:tcW w:type="dxa" w:w="3744"/>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Requirement</w:t>
            </w:r>
          </w:p>
        </w:tc>
        <w:tc>
          <w:tcPr>
            <w:tcW w:type="dxa" w:w="236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Faculty judgement</w:t>
            </w:r>
          </w:p>
        </w:tc>
        <w:tc>
          <w:tcPr>
            <w:tcW w:type="dxa" w:w="3249"/>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Quotation or timestamp and specific reason</w:t>
            </w:r>
          </w:p>
        </w:tc>
      </w:tr>
      <w:tr>
        <w:trPr>
          <w:cantSplit/>
        </w:trPr>
        <w:tc>
          <w:tcPr>
            <w:tcW w:type="dxa" w:w="374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1 Response completeness</w:t>
              <w:br/>
              <w:t>Once the conditions requiring an answer are met, the role provides the prescribed content. Omitting permitted but optional content is not a failure to answer.</w:t>
            </w:r>
          </w:p>
        </w:tc>
        <w:tc>
          <w:tcPr>
            <w:tcW w:type="dxa" w:w="236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008"/>
                <w:tag w:val="role_1_0"/>
                <w:alias w:val="role_1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Compliant  </w:t>
            </w:r>
            <w:r>
              <w:br/>
            </w:r>
            <w:sdt>
              <w:sdtPr>
                <w:id w:val="1009"/>
                <w:tag w:val="role_1_1"/>
                <w:alias w:val="role_1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Non-compliant  </w:t>
            </w:r>
          </w:p>
          <w:p>
            <w:pPr>
              <w:spacing w:after="30" w:line="246" w:lineRule="auto"/>
            </w:pPr>
            <w:sdt>
              <w:sdtPr>
                <w:id w:val="1010"/>
                <w:tag w:val="role_1_2"/>
                <w:alias w:val="role_1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r>
              <w:br/>
            </w:r>
            <w:sdt>
              <w:sdtPr>
                <w:id w:val="1011"/>
                <w:tag w:val="role_1_3"/>
                <w:alias w:val="role_1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tc>
        <w:tc>
          <w:tcPr>
            <w:tcW w:type="dxa" w:w="3249"/>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012"/>
                <w:tag w:val="role_1_quote"/>
                <w:alias w:val="role_1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Evidence/issue: </w:t>
            </w:r>
            <w:sdt>
              <w:sdtPr>
                <w:id w:val="1013"/>
                <w:tag w:val="role_1_reason"/>
                <w:alias w:val="role_1_reason"/>
                <w:text w:multiLine="1"/>
              </w:sdtPr>
              <w:sdtContent>
                <w:r>
                  <w:rPr>
                    <w:sz w:val="21"/>
                    <w:rFonts w:eastAsia="Arial" w:ascii="Arial" w:hAnsi="Arial" w:cs="Arial"/>
                    <w:szCs w:val="21"/>
                  </w:rPr>
                  <w:t xml:space="preserve">___________</w:t>
                </w:r>
              </w:sdtContent>
            </w:sdt>
          </w:p>
        </w:tc>
      </w:tr>
      <w:tr>
        <w:trPr>
          <w:cantSplit/>
        </w:trPr>
        <w:tc>
          <w:tcPr>
            <w:tcW w:type="dxa" w:w="3744"/>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2 Case-fact consistency</w:t>
              <w:br/>
              <w:t>The AI role's identity, history, medication and established facts remain consistent with the station materials and earlier dialogue. Fixed facts are not added or changed without support.</w:t>
            </w:r>
          </w:p>
        </w:tc>
        <w:tc>
          <w:tcPr>
            <w:tcW w:type="dxa" w:w="2368"/>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sdt>
              <w:sdtPr>
                <w:id w:val="1014"/>
                <w:tag w:val="role_2_0"/>
                <w:alias w:val="role_2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Compliant  </w:t>
            </w:r>
            <w:r>
              <w:br/>
            </w:r>
            <w:sdt>
              <w:sdtPr>
                <w:id w:val="1015"/>
                <w:tag w:val="role_2_1"/>
                <w:alias w:val="role_2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Non-compliant  </w:t>
            </w:r>
          </w:p>
          <w:p>
            <w:pPr>
              <w:spacing w:after="30" w:line="246" w:lineRule="auto"/>
            </w:pPr>
            <w:sdt>
              <w:sdtPr>
                <w:id w:val="1016"/>
                <w:tag w:val="role_2_2"/>
                <w:alias w:val="role_2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r>
              <w:br/>
            </w:r>
            <w:sdt>
              <w:sdtPr>
                <w:id w:val="1017"/>
                <w:tag w:val="role_2_3"/>
                <w:alias w:val="role_2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tc>
        <w:tc>
          <w:tcPr>
            <w:tcW w:type="dxa" w:w="3249"/>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018"/>
                <w:tag w:val="role_2_quote"/>
                <w:alias w:val="role_2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Evidence/issue: </w:t>
            </w:r>
            <w:sdt>
              <w:sdtPr>
                <w:id w:val="1019"/>
                <w:tag w:val="role_2_reason"/>
                <w:alias w:val="role_2_reason"/>
                <w:text w:multiLine="1"/>
              </w:sdtPr>
              <w:sdtContent>
                <w:r>
                  <w:rPr>
                    <w:sz w:val="21"/>
                    <w:rFonts w:eastAsia="Arial" w:ascii="Arial" w:hAnsi="Arial" w:cs="Arial"/>
                    <w:szCs w:val="21"/>
                  </w:rPr>
                  <w:t xml:space="preserve">___________</w:t>
                </w:r>
              </w:sdtContent>
            </w:sdt>
          </w:p>
        </w:tc>
      </w:tr>
      <w:tr>
        <w:trPr>
          <w:cantSplit/>
        </w:trPr>
        <w:tc>
          <w:tcPr>
            <w:tcW w:type="dxa" w:w="374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3 Disclosure permissions</w:t>
              <w:br/>
              <w:t>The AI role discloses only information permitted at that point, without revealing the expected answer prematurely or making an assessed judgement on the student's behalf.</w:t>
            </w:r>
          </w:p>
        </w:tc>
        <w:tc>
          <w:tcPr>
            <w:tcW w:type="dxa" w:w="236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020"/>
                <w:tag w:val="role_3_0"/>
                <w:alias w:val="role_3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Compliant  </w:t>
            </w:r>
            <w:r>
              <w:br/>
            </w:r>
            <w:sdt>
              <w:sdtPr>
                <w:id w:val="1021"/>
                <w:tag w:val="role_3_1"/>
                <w:alias w:val="role_3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Non-compliant  </w:t>
            </w:r>
          </w:p>
          <w:p>
            <w:pPr>
              <w:spacing w:after="30" w:line="246" w:lineRule="auto"/>
            </w:pPr>
            <w:sdt>
              <w:sdtPr>
                <w:id w:val="1022"/>
                <w:tag w:val="role_3_2"/>
                <w:alias w:val="role_3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r>
              <w:br/>
            </w:r>
            <w:sdt>
              <w:sdtPr>
                <w:id w:val="1023"/>
                <w:tag w:val="role_3_3"/>
                <w:alias w:val="role_3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tc>
        <w:tc>
          <w:tcPr>
            <w:tcW w:type="dxa" w:w="3249"/>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024"/>
                <w:tag w:val="role_3_quote"/>
                <w:alias w:val="role_3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Evidence/issue: </w:t>
            </w:r>
            <w:sdt>
              <w:sdtPr>
                <w:id w:val="1025"/>
                <w:tag w:val="role_3_reason"/>
                <w:alias w:val="role_3_reason"/>
                <w:text w:multiLine="1"/>
              </w:sdtPr>
              <w:sdtContent>
                <w:r>
                  <w:rPr>
                    <w:sz w:val="21"/>
                    <w:rFonts w:eastAsia="Arial" w:ascii="Arial" w:hAnsi="Arial" w:cs="Arial"/>
                    <w:szCs w:val="21"/>
                  </w:rPr>
                  <w:t xml:space="preserve">___________</w:t>
                </w:r>
              </w:sdtContent>
            </w:sdt>
          </w:p>
        </w:tc>
      </w:tr>
      <w:tr>
        <w:trPr>
          <w:cantSplit/>
        </w:trPr>
        <w:tc>
          <w:tcPr>
            <w:tcW w:type="dxa" w:w="3744"/>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4 Source and timing</w:t>
              <w:br/>
              <w:t>The AI role uses only information available at that point. The source of repetitions, prompts and student recommendations is clear; later information is not used prematurely.</w:t>
            </w:r>
          </w:p>
        </w:tc>
        <w:tc>
          <w:tcPr>
            <w:tcW w:type="dxa" w:w="2368"/>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sdt>
              <w:sdtPr>
                <w:id w:val="1026"/>
                <w:tag w:val="role_4_0"/>
                <w:alias w:val="role_4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Compliant  </w:t>
            </w:r>
            <w:r>
              <w:br/>
            </w:r>
            <w:sdt>
              <w:sdtPr>
                <w:id w:val="1027"/>
                <w:tag w:val="role_4_1"/>
                <w:alias w:val="role_4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Non-compliant  </w:t>
            </w:r>
          </w:p>
          <w:p>
            <w:pPr>
              <w:spacing w:after="30" w:line="246" w:lineRule="auto"/>
            </w:pPr>
            <w:sdt>
              <w:sdtPr>
                <w:id w:val="1028"/>
                <w:tag w:val="role_4_2"/>
                <w:alias w:val="role_4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r>
              <w:br/>
            </w:r>
            <w:sdt>
              <w:sdtPr>
                <w:id w:val="1029"/>
                <w:tag w:val="role_4_3"/>
                <w:alias w:val="role_4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tc>
        <w:tc>
          <w:tcPr>
            <w:tcW w:type="dxa" w:w="3249"/>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030"/>
                <w:tag w:val="role_4_quote"/>
                <w:alias w:val="role_4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Evidence/issue: </w:t>
            </w:r>
            <w:sdt>
              <w:sdtPr>
                <w:id w:val="1031"/>
                <w:tag w:val="role_4_reason"/>
                <w:alias w:val="role_4_reason"/>
                <w:text w:multiLine="1"/>
              </w:sdtPr>
              <w:sdtContent>
                <w:r>
                  <w:rPr>
                    <w:sz w:val="21"/>
                    <w:rFonts w:eastAsia="Arial" w:ascii="Arial" w:hAnsi="Arial" w:cs="Arial"/>
                    <w:szCs w:val="21"/>
                  </w:rPr>
                  <w:t xml:space="preserve">___________</w:t>
                </w:r>
              </w:sdtContent>
            </w:sdt>
          </w:p>
        </w:tc>
      </w:tr>
      <w:tr>
        <w:trPr>
          <w:cantSplit/>
        </w:trPr>
        <w:tc>
          <w:tcPr>
            <w:tcW w:type="dxa" w:w="374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5 Authorised prompts</w:t>
              <w:br/>
              <w:t>Any authorised prompt actually delivered complies with the station's conditions, wording, frequency and timing. Ordinary clarification is not mistaken for an authorised prompt.</w:t>
            </w:r>
          </w:p>
        </w:tc>
        <w:tc>
          <w:tcPr>
            <w:tcW w:type="dxa" w:w="236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032"/>
                <w:tag w:val="role_5_0"/>
                <w:alias w:val="role_5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Compliant  </w:t>
            </w:r>
            <w:r>
              <w:br/>
            </w:r>
            <w:sdt>
              <w:sdtPr>
                <w:id w:val="1033"/>
                <w:tag w:val="role_5_1"/>
                <w:alias w:val="role_5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Non-compliant  </w:t>
            </w:r>
          </w:p>
          <w:p>
            <w:pPr>
              <w:spacing w:after="30" w:line="246" w:lineRule="auto"/>
            </w:pPr>
            <w:sdt>
              <w:sdtPr>
                <w:id w:val="1034"/>
                <w:tag w:val="role_5_2"/>
                <w:alias w:val="role_5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r>
              <w:br/>
            </w:r>
            <w:sdt>
              <w:sdtPr>
                <w:id w:val="1035"/>
                <w:tag w:val="role_5_3"/>
                <w:alias w:val="role_5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tc>
        <w:tc>
          <w:tcPr>
            <w:tcW w:type="dxa" w:w="3249"/>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036"/>
                <w:tag w:val="role_5_quote"/>
                <w:alias w:val="role_5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Evidence/issue: </w:t>
            </w:r>
            <w:sdt>
              <w:sdtPr>
                <w:id w:val="1037"/>
                <w:tag w:val="role_5_reason"/>
                <w:alias w:val="role_5_reason"/>
                <w:text w:multiLine="1"/>
              </w:sdtPr>
              <w:sdtContent>
                <w:r>
                  <w:rPr>
                    <w:sz w:val="21"/>
                    <w:rFonts w:eastAsia="Arial" w:ascii="Arial" w:hAnsi="Arial" w:cs="Arial"/>
                    <w:szCs w:val="21"/>
                  </w:rPr>
                  <w:t xml:space="preserve">___________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p>
      <w:pPr>
        <w:spacing w:line="246" w:lineRule="auto" w:after="80"/>
      </w:pPr>
      <w:r>
        <w:rPr>
          <w:rFonts w:ascii="Arial" w:hAnsi="Arial" w:eastAsia="Arial" w:cs="Arial"/>
          <w:sz w:val="21"/>
          <w:szCs w:val="21"/>
        </w:rPr>
        <w:t>For 'Not applicable', identify the condition that was not triggered. For 'Cannot determine', specify the missing evidence. Give a brief reason for 'Compliant' too, such as 'The patient identity remained unchanged throughout'. Assess the AI role's behaviour; an incorrect student recommendation is not itself a case-fact error by the AI role.</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5616"/>
      </w:tblGrid>
      <w:tr>
        <w:trPr>
          <w:cantSplit/>
          <w:tblHeader/>
        </w:trPr>
        <w:tc>
          <w:tcPr>
            <w:tcW w:type="dxa" w:w="3744"/>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Overall finding</w:t>
            </w:r>
          </w:p>
        </w:tc>
        <w:tc>
          <w:tcPr>
            <w:tcW w:type="dxa" w:w="5616"/>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Details or points to check</w:t>
            </w:r>
          </w:p>
        </w:tc>
      </w:tr>
      <w:tr>
        <w:trPr>
          <w:cantSplit/>
        </w:trPr>
        <w:tc>
          <w:tcPr>
            <w:tcW w:type="dxa" w:w="374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038"/>
                <w:tag w:val="role_overall_0"/>
                <w:alias w:val="role_overall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All applicable items meet requirements  </w:t>
            </w:r>
          </w:p>
          <w:p>
            <w:pPr>
              <w:spacing w:after="30" w:line="246" w:lineRule="auto"/>
            </w:pPr>
            <w:sdt>
              <w:sdtPr>
                <w:id w:val="1039"/>
                <w:tag w:val="role_overall_1"/>
                <w:alias w:val="role_overall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At least one item does not meet requirements  </w:t>
            </w:r>
          </w:p>
          <w:p>
            <w:pPr>
              <w:spacing w:after="30" w:line="246" w:lineRule="auto"/>
            </w:pPr>
            <w:sdt>
              <w:sdtPr>
                <w:id w:val="1040"/>
                <w:tag w:val="role_overall_2"/>
                <w:alias w:val="role_overall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Verification pending  </w:t>
            </w:r>
          </w:p>
        </w:tc>
        <w:tc>
          <w:tcPr>
            <w:tcW w:type="dxa" w:w="5616"/>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041"/>
                <w:tag w:val="role_recheck"/>
                <w:alias w:val="role_recheck"/>
                <w:text w:multiLine="1"/>
              </w:sdtPr>
              <w:sdtContent>
                <w:r>
                  <w:rPr>
                    <w:sz w:val="21"/>
                    <w:rFonts w:eastAsia="Arial" w:ascii="Arial" w:hAnsi="Arial" w:cs="Arial"/>
                    <w:szCs w:val="21"/>
                  </w:rPr>
                  <w:t xml:space="preserve">__________________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p>
      <w:pPr>
        <w:spacing w:line="246" w:lineRule="auto" w:after="80"/>
      </w:pPr>
      <w:r>
        <w:rPr>
          <w:sz w:val="21"/>
          <w:rFonts w:ascii="Arial" w:hAnsi="Arial" w:eastAsia="Arial" w:cs="Arial"/>
          <w:szCs w:val="21"/>
        </w:rPr>
        <w:t>Research-team coding: all applicable items comply = 1; any non-compliant item = 0. If one or more judgements remain unresolved and no explicit failure has been identified, verification remains pending. No valid response = system failure, coded 0. Calculate the metric as described in Section 7; faculty need not enter percentages.</w:t>
      </w:r>
    </w:p>
    <w:p>
      <w:pPr>
        <w:pStyle w:val="Heading1"/>
        <w:pageBreakBefore w:val="1"/>
        <w:spacing w:line="246" w:lineRule="auto" w:after="80"/>
      </w:pPr>
      <w:r>
        <w:rPr>
          <w:rFonts w:ascii="Arial" w:hAnsi="Arial" w:eastAsia="Arial" w:cs="Arial"/>
          <w:sz w:val="26"/>
          <w:szCs w:val="26"/>
        </w:rPr>
        <w:t>Appendix B1. Faculty Assessment: Onychomycosis</w:t>
      </w:r>
    </w:p>
    <w:p>
      <w:pPr>
        <w:spacing w:line="246" w:lineRule="auto" w:after="80"/>
      </w:pPr>
      <w:r>
        <w:rPr>
          <w:rFonts w:ascii="Arial" w:hAnsi="Arial" w:eastAsia="Arial" w:cs="Arial"/>
          <w:sz w:val="21"/>
          <w:szCs w:val="21"/>
        </w:rPr>
        <w:t>Complete independently before viewing the AI decision. For each item, select the completion status and enter the consequence, quote and reason. Select the error status (no error/unresolved/corrected) and whether review is required. For 'Not applicable', explain the untriggered condition; other inapplicable fields may be left blank. If speech is unclear, record the missing evidence rather than selecting 'No error'. Use the dropdowns in Word or write the responses on a printed copy.</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2"/>
        <w:gridCol w:w="2312"/>
        <w:gridCol w:w="2368"/>
        <w:gridCol w:w="2368"/>
      </w:tblGrid>
      <w:tr>
        <w:trPr>
          <w:cantSplit/>
          <w:tblHeader/>
        </w:trPr>
        <w:tc>
          <w:tcPr>
            <w:tcW w:type="dxa" w:w="2312"/>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Record ID</w:t>
            </w:r>
          </w:p>
        </w:tc>
        <w:tc>
          <w:tcPr>
            <w:tcW w:type="dxa" w:w="2312"/>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Station</w:t>
            </w:r>
          </w:p>
        </w:tc>
        <w:tc>
          <w:tcPr>
            <w:tcW w:type="dxa" w:w="236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Faculty or student ID</w:t>
            </w:r>
          </w:p>
        </w:tc>
        <w:tc>
          <w:tcPr>
            <w:tcW w:type="dxa" w:w="236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Date</w:t>
            </w:r>
          </w:p>
        </w:tc>
      </w:tr>
      <w:tr>
        <w:trPr>
          <w:cantSplit/>
        </w:trPr>
        <w:tc>
          <w:tcPr>
            <w:tcW w:type="dxa" w:w="231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042"/>
                <w:tag w:val="case_0_meta_0"/>
                <w:alias w:val="case_0_meta_0"/>
                <w:text w:multiLine="1"/>
              </w:sdtPr>
              <w:sdtContent>
                <w:r>
                  <w:rPr>
                    <w:sz w:val="21"/>
                    <w:rFonts w:eastAsia="Arial" w:ascii="Arial" w:hAnsi="Arial" w:cs="Arial"/>
                    <w:szCs w:val="21"/>
                  </w:rPr>
                  <w:t xml:space="preserve">____________</w:t>
                </w:r>
              </w:sdtContent>
            </w:sdt>
          </w:p>
        </w:tc>
        <w:tc>
          <w:tcPr>
            <w:tcW w:type="dxa" w:w="231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r>
              <w:rPr>
                <w:sz w:val="21"/>
                <w:rFonts w:ascii="Arial" w:hAnsi="Arial" w:eastAsia="Arial" w:cs="Arial"/>
                <w:szCs w:val="21"/>
              </w:rPr>
              <w:t>Onychomycosis</w:t>
            </w:r>
          </w:p>
        </w:tc>
        <w:tc>
          <w:tcPr>
            <w:tcW w:type="dxa" w:w="236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043"/>
                <w:tag w:val="case_0_meta_2"/>
                <w:alias w:val="case_0_meta_2"/>
                <w:text w:multiLine="1"/>
              </w:sdtPr>
              <w:sdtContent>
                <w:r>
                  <w:rPr>
                    <w:sz w:val="21"/>
                    <w:rFonts w:eastAsia="Arial" w:ascii="Arial" w:hAnsi="Arial" w:cs="Arial"/>
                    <w:szCs w:val="21"/>
                  </w:rPr>
                  <w:t xml:space="preserve">____________</w:t>
                </w:r>
              </w:sdtContent>
            </w:sdt>
          </w:p>
        </w:tc>
        <w:tc>
          <w:tcPr>
            <w:tcW w:type="dxa" w:w="236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044"/>
                <w:tag w:val="case_0_meta_3"/>
                <w:alias w:val="case_0_meta_3"/>
                <w:text w:multiLine="1"/>
              </w:sdtPr>
              <w:sdtContent>
                <w:r>
                  <w:rPr>
                    <w:sz w:val="21"/>
                    <w:rFonts w:eastAsia="Arial" w:ascii="Arial" w:hAnsi="Arial" w:cs="Arial"/>
                    <w:szCs w:val="21"/>
                  </w:rPr>
                  <w:t xml:space="preserve">____________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99"/>
        <w:gridCol w:w="2477"/>
        <w:gridCol w:w="3083"/>
      </w:tblGrid>
      <w:tr>
        <w:trPr>
          <w:cantSplit/>
          <w:tblHeader/>
        </w:trPr>
        <w:tc>
          <w:tcPr>
            <w:tcW w:type="dxa" w:w="3799"/>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Core requirement and original rule</w:t>
            </w:r>
          </w:p>
        </w:tc>
        <w:tc>
          <w:tcPr>
            <w:tcW w:type="dxa" w:w="2477"/>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Faculty judgement and consequence</w:t>
            </w:r>
          </w:p>
        </w:tc>
        <w:tc>
          <w:tcPr>
            <w:tcW w:type="dxa" w:w="3083"/>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Dialogue evidence and reason</w:t>
            </w:r>
          </w:p>
        </w:tc>
      </w:tr>
      <w:tr>
        <w:trPr>
          <w:cantSplit/>
        </w:trPr>
        <w:tc>
          <w:tcPr>
            <w:tcW w:type="dxa" w:w="3799"/>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1 Patient conditions</w:t>
              <w:br/>
              <w:t>Recognises that itraconazole is unsuitable in this case because of heart failure or ventricular dysfunction.</w:t>
              <w:br/>
              <w:t>Original rule: identified only after an authorised prompt, maximum C+; still not identified after the prompt, automatic FAIL.</w:t>
            </w:r>
          </w:p>
        </w:tc>
        <w:tc>
          <w:tcPr>
            <w:tcW w:type="dxa" w:w="2477"/>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045"/>
                <w:tag w:val="case_0_item_1_status_0"/>
                <w:alias w:val="case_0_item_1_status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Meets  </w:t>
            </w:r>
            <w:r>
              <w:br/>
            </w:r>
            <w:sdt>
              <w:sdtPr>
                <w:id w:val="1046"/>
                <w:tag w:val="case_0_item_1_status_1"/>
                <w:alias w:val="case_0_item_1_status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Partly meets  </w:t>
            </w:r>
          </w:p>
          <w:p>
            <w:pPr>
              <w:spacing w:after="30" w:line="246" w:lineRule="auto"/>
            </w:pPr>
            <w:sdt>
              <w:sdtPr>
                <w:id w:val="1047"/>
                <w:tag w:val="case_0_item_1_status_2"/>
                <w:alias w:val="case_0_item_1_status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Does not meet  </w:t>
            </w:r>
            <w:r>
              <w:br/>
            </w:r>
            <w:sdt>
              <w:sdtPr>
                <w:id w:val="1048"/>
                <w:tag w:val="case_0_item_1_status_3"/>
                <w:alias w:val="case_0_item_1_status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p>
          <w:p>
            <w:pPr>
              <w:spacing w:after="30" w:line="246" w:lineRule="auto"/>
            </w:pPr>
            <w:sdt>
              <w:sdtPr>
                <w:id w:val="1049"/>
                <w:tag w:val="case_0_item_1_status_4"/>
                <w:alias w:val="case_0_item_1_status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p>
            <w:pPr>
              <w:spacing w:after="30" w:line="246" w:lineRule="auto"/>
            </w:pPr>
            <w:r>
              <w:rPr>
                <w:sz w:val="21"/>
                <w:rFonts w:ascii="Arial" w:hAnsi="Arial" w:eastAsia="Arial" w:cs="Arial"/>
                <w:szCs w:val="21"/>
              </w:rPr>
              <w:t xml:space="preserve">Consequence: </w:t>
            </w:r>
            <w:sdt>
              <w:sdtPr>
                <w:id w:val="1050"/>
                <w:tag w:val="case_0_item_1_consequence"/>
                <w:alias w:val="case_0_item_1_consequence"/>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Error: </w:t>
            </w:r>
            <w:sdt>
              <w:sdtPr>
                <w:id w:val="1051"/>
                <w:tag w:val="case_0_item_1_history"/>
                <w:alias w:val="case_0_item_1_history"/>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Content>
                <w:r>
                  <w:rPr>
                    <w:rFonts w:ascii="Arial" w:hAnsi="Arial" w:eastAsia="Arial" w:cs="Arial"/>
                    <w:sz w:val="21"/>
                    <w:szCs w:val="21"/>
                  </w:rPr>
                  <w:t>Select</w:t>
                </w:r>
              </w:sdtContent>
            </w:sdt>
          </w:p>
          <w:p>
            <w:pPr>
              <w:spacing w:after="30" w:line="246" w:lineRule="auto"/>
            </w:pPr>
            <w:r>
              <w:rPr>
                <w:sz w:val="21"/>
                <w:rFonts w:ascii="Arial" w:hAnsi="Arial" w:eastAsia="Arial" w:cs="Arial"/>
                <w:szCs w:val="21"/>
              </w:rPr>
              <w:t xml:space="preserve">Review: </w:t>
            </w:r>
            <w:sdt>
              <w:sdtPr>
                <w:id w:val="1052"/>
                <w:tag w:val="case_0_item_1_review"/>
                <w:alias w:val="case_0_item_1_review"/>
                <w:dropDownList>
                  <w:listItem w:displayText="Select" w:value="Select"/>
                  <w:listItem w:displayText="Not required" w:value="Not required"/>
                  <w:listItem w:displayText="Required" w:value="Required"/>
                </w:dropDownList>
              </w:sdtPr>
              <w:sdtContent>
                <w:r>
                  <w:rPr>
                    <w:rFonts w:ascii="Arial" w:hAnsi="Arial" w:eastAsia="Arial" w:cs="Arial"/>
                    <w:sz w:val="21"/>
                    <w:szCs w:val="21"/>
                  </w:rPr>
                  <w:t>Select</w:t>
                </w:r>
              </w:sdtContent>
            </w:sdt>
          </w:p>
        </w:tc>
        <w:tc>
          <w:tcPr>
            <w:tcW w:type="dxa" w:w="308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053"/>
                <w:tag w:val="case_0_item_1_quote"/>
                <w:alias w:val="case_0_item_1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Reason: </w:t>
            </w:r>
            <w:sdt>
              <w:sdtPr>
                <w:id w:val="1054"/>
                <w:tag w:val="case_0_item_1_reason"/>
                <w:alias w:val="case_0_item_1_reason"/>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Omission/correction: </w:t>
            </w:r>
            <w:sdt>
              <w:sdtPr>
                <w:id w:val="1055"/>
                <w:tag w:val="case_0_item_1_missing"/>
                <w:alias w:val="case_0_item_1_missing"/>
                <w:text w:multiLine="1"/>
              </w:sdtPr>
              <w:sdtContent>
                <w:r>
                  <w:rPr>
                    <w:sz w:val="21"/>
                    <w:rFonts w:eastAsia="Arial" w:ascii="Arial" w:hAnsi="Arial" w:cs="Arial"/>
                    <w:szCs w:val="21"/>
                  </w:rPr>
                  <w:t xml:space="preserve">___________</w:t>
                </w:r>
              </w:sdtContent>
            </w:sdt>
          </w:p>
        </w:tc>
      </w:tr>
      <w:tr>
        <w:trPr>
          <w:cantSplit/>
        </w:trPr>
        <w:tc>
          <w:tcPr>
            <w:tcW w:type="dxa" w:w="3799"/>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2 Drug interaction</w:t>
              <w:br/>
              <w:t>Recognises that itraconazole increases atorvastatin exposure and toxicity risk, and recommends appropriate action for this case.</w:t>
              <w:br/>
              <w:t>Original rule: identified only after an authorised prompt, maximum C+; still not identified after the prompt, automatic FAIL.</w:t>
            </w:r>
          </w:p>
        </w:tc>
        <w:tc>
          <w:tcPr>
            <w:tcW w:type="dxa" w:w="2477"/>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sdt>
              <w:sdtPr>
                <w:id w:val="1056"/>
                <w:tag w:val="case_0_item_2_status_0"/>
                <w:alias w:val="case_0_item_2_status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Meets  </w:t>
            </w:r>
            <w:r>
              <w:br/>
            </w:r>
            <w:sdt>
              <w:sdtPr>
                <w:id w:val="1057"/>
                <w:tag w:val="case_0_item_2_status_1"/>
                <w:alias w:val="case_0_item_2_status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Partly meets  </w:t>
            </w:r>
          </w:p>
          <w:p>
            <w:pPr>
              <w:spacing w:after="30" w:line="246" w:lineRule="auto"/>
            </w:pPr>
            <w:sdt>
              <w:sdtPr>
                <w:id w:val="1058"/>
                <w:tag w:val="case_0_item_2_status_2"/>
                <w:alias w:val="case_0_item_2_status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Does not meet  </w:t>
            </w:r>
            <w:r>
              <w:br/>
            </w:r>
            <w:sdt>
              <w:sdtPr>
                <w:id w:val="1059"/>
                <w:tag w:val="case_0_item_2_status_3"/>
                <w:alias w:val="case_0_item_2_status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p>
          <w:p>
            <w:pPr>
              <w:spacing w:after="30" w:line="246" w:lineRule="auto"/>
            </w:pPr>
            <w:sdt>
              <w:sdtPr>
                <w:id w:val="1060"/>
                <w:tag w:val="case_0_item_2_status_4"/>
                <w:alias w:val="case_0_item_2_status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p>
            <w:pPr>
              <w:spacing w:after="30" w:line="246" w:lineRule="auto"/>
            </w:pPr>
            <w:r>
              <w:rPr>
                <w:sz w:val="21"/>
                <w:rFonts w:ascii="Arial" w:hAnsi="Arial" w:eastAsia="Arial" w:cs="Arial"/>
                <w:szCs w:val="21"/>
              </w:rPr>
              <w:t xml:space="preserve">Consequence: </w:t>
            </w:r>
            <w:sdt>
              <w:sdtPr>
                <w:id w:val="1061"/>
                <w:tag w:val="case_0_item_2_consequence"/>
                <w:alias w:val="case_0_item_2_consequence"/>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Error: </w:t>
            </w:r>
            <w:sdt>
              <w:sdtPr>
                <w:id w:val="1062"/>
                <w:tag w:val="case_0_item_2_history"/>
                <w:alias w:val="case_0_item_2_history"/>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Content>
                <w:r>
                  <w:rPr>
                    <w:rFonts w:ascii="Arial" w:hAnsi="Arial" w:eastAsia="Arial" w:cs="Arial"/>
                    <w:sz w:val="21"/>
                    <w:szCs w:val="21"/>
                  </w:rPr>
                  <w:t>Select</w:t>
                </w:r>
              </w:sdtContent>
            </w:sdt>
          </w:p>
          <w:p>
            <w:pPr>
              <w:spacing w:after="30" w:line="246" w:lineRule="auto"/>
            </w:pPr>
            <w:r>
              <w:rPr>
                <w:sz w:val="21"/>
                <w:rFonts w:ascii="Arial" w:hAnsi="Arial" w:eastAsia="Arial" w:cs="Arial"/>
                <w:szCs w:val="21"/>
              </w:rPr>
              <w:t xml:space="preserve">Review: </w:t>
            </w:r>
            <w:sdt>
              <w:sdtPr>
                <w:id w:val="1063"/>
                <w:tag w:val="case_0_item_2_review"/>
                <w:alias w:val="case_0_item_2_review"/>
                <w:dropDownList>
                  <w:listItem w:displayText="Select" w:value="Select"/>
                  <w:listItem w:displayText="Not required" w:value="Not required"/>
                  <w:listItem w:displayText="Required" w:value="Required"/>
                </w:dropDownList>
              </w:sdtPr>
              <w:sdtContent>
                <w:r>
                  <w:rPr>
                    <w:rFonts w:ascii="Arial" w:hAnsi="Arial" w:eastAsia="Arial" w:cs="Arial"/>
                    <w:sz w:val="21"/>
                    <w:szCs w:val="21"/>
                  </w:rPr>
                  <w:t>Select</w:t>
                </w:r>
              </w:sdtContent>
            </w:sdt>
          </w:p>
        </w:tc>
        <w:tc>
          <w:tcPr>
            <w:tcW w:type="dxa" w:w="308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064"/>
                <w:tag w:val="case_0_item_2_quote"/>
                <w:alias w:val="case_0_item_2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Reason: </w:t>
            </w:r>
            <w:sdt>
              <w:sdtPr>
                <w:id w:val="1065"/>
                <w:tag w:val="case_0_item_2_reason"/>
                <w:alias w:val="case_0_item_2_reason"/>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Omission/correction: </w:t>
            </w:r>
            <w:sdt>
              <w:sdtPr>
                <w:id w:val="1066"/>
                <w:tag w:val="case_0_item_2_missing"/>
                <w:alias w:val="case_0_item_2_missing"/>
                <w:text w:multiLine="1"/>
              </w:sdtPr>
              <w:sdtContent>
                <w:r>
                  <w:rPr>
                    <w:sz w:val="21"/>
                    <w:rFonts w:eastAsia="Arial" w:ascii="Arial" w:hAnsi="Arial" w:cs="Arial"/>
                    <w:szCs w:val="21"/>
                  </w:rPr>
                  <w:t xml:space="preserve">___________</w:t>
                </w:r>
              </w:sdtContent>
            </w:sdt>
          </w:p>
        </w:tc>
      </w:tr>
      <w:tr>
        <w:trPr>
          <w:cantSplit/>
        </w:trPr>
        <w:tc>
          <w:tcPr>
            <w:tcW w:type="dxa" w:w="3799"/>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3 Alternative treatment</w:t>
              <w:br/>
              <w:t>Proposes the station-approved terbinafine regimen, without presenting a treatment unsuitable for this patient as an appropriate alternative.</w:t>
              <w:br/>
              <w:t>Original rule: terbinafine not proposed, maximum B− under the original rubric.</w:t>
            </w:r>
          </w:p>
        </w:tc>
        <w:tc>
          <w:tcPr>
            <w:tcW w:type="dxa" w:w="2477"/>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067"/>
                <w:tag w:val="case_0_item_3_status_0"/>
                <w:alias w:val="case_0_item_3_status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Meets  </w:t>
            </w:r>
            <w:r>
              <w:br/>
            </w:r>
            <w:sdt>
              <w:sdtPr>
                <w:id w:val="1068"/>
                <w:tag w:val="case_0_item_3_status_1"/>
                <w:alias w:val="case_0_item_3_status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Partly meets  </w:t>
            </w:r>
          </w:p>
          <w:p>
            <w:pPr>
              <w:spacing w:after="30" w:line="246" w:lineRule="auto"/>
            </w:pPr>
            <w:sdt>
              <w:sdtPr>
                <w:id w:val="1069"/>
                <w:tag w:val="case_0_item_3_status_2"/>
                <w:alias w:val="case_0_item_3_status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Does not meet  </w:t>
            </w:r>
            <w:r>
              <w:br/>
            </w:r>
            <w:sdt>
              <w:sdtPr>
                <w:id w:val="1070"/>
                <w:tag w:val="case_0_item_3_status_3"/>
                <w:alias w:val="case_0_item_3_status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p>
          <w:p>
            <w:pPr>
              <w:spacing w:after="30" w:line="246" w:lineRule="auto"/>
            </w:pPr>
            <w:sdt>
              <w:sdtPr>
                <w:id w:val="1071"/>
                <w:tag w:val="case_0_item_3_status_4"/>
                <w:alias w:val="case_0_item_3_status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p>
            <w:pPr>
              <w:spacing w:after="30" w:line="246" w:lineRule="auto"/>
            </w:pPr>
            <w:r>
              <w:rPr>
                <w:sz w:val="21"/>
                <w:rFonts w:ascii="Arial" w:hAnsi="Arial" w:eastAsia="Arial" w:cs="Arial"/>
                <w:szCs w:val="21"/>
              </w:rPr>
              <w:t xml:space="preserve">Consequence: </w:t>
            </w:r>
            <w:sdt>
              <w:sdtPr>
                <w:id w:val="1072"/>
                <w:tag w:val="case_0_item_3_consequence"/>
                <w:alias w:val="case_0_item_3_consequence"/>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Error: </w:t>
            </w:r>
            <w:sdt>
              <w:sdtPr>
                <w:id w:val="1073"/>
                <w:tag w:val="case_0_item_3_history"/>
                <w:alias w:val="case_0_item_3_history"/>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Content>
                <w:r>
                  <w:rPr>
                    <w:rFonts w:ascii="Arial" w:hAnsi="Arial" w:eastAsia="Arial" w:cs="Arial"/>
                    <w:sz w:val="21"/>
                    <w:szCs w:val="21"/>
                  </w:rPr>
                  <w:t>Select</w:t>
                </w:r>
              </w:sdtContent>
            </w:sdt>
          </w:p>
          <w:p>
            <w:pPr>
              <w:spacing w:after="30" w:line="246" w:lineRule="auto"/>
            </w:pPr>
            <w:r>
              <w:rPr>
                <w:sz w:val="21"/>
                <w:rFonts w:ascii="Arial" w:hAnsi="Arial" w:eastAsia="Arial" w:cs="Arial"/>
                <w:szCs w:val="21"/>
              </w:rPr>
              <w:t xml:space="preserve">Review: </w:t>
            </w:r>
            <w:sdt>
              <w:sdtPr>
                <w:id w:val="1074"/>
                <w:tag w:val="case_0_item_3_review"/>
                <w:alias w:val="case_0_item_3_review"/>
                <w:dropDownList>
                  <w:listItem w:displayText="Select" w:value="Select"/>
                  <w:listItem w:displayText="Not required" w:value="Not required"/>
                  <w:listItem w:displayText="Required" w:value="Required"/>
                </w:dropDownList>
              </w:sdtPr>
              <w:sdtContent>
                <w:r>
                  <w:rPr>
                    <w:rFonts w:ascii="Arial" w:hAnsi="Arial" w:eastAsia="Arial" w:cs="Arial"/>
                    <w:sz w:val="21"/>
                    <w:szCs w:val="21"/>
                  </w:rPr>
                  <w:t>Select</w:t>
                </w:r>
              </w:sdtContent>
            </w:sdt>
          </w:p>
        </w:tc>
        <w:tc>
          <w:tcPr>
            <w:tcW w:type="dxa" w:w="308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075"/>
                <w:tag w:val="case_0_item_3_quote"/>
                <w:alias w:val="case_0_item_3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Reason: </w:t>
            </w:r>
            <w:sdt>
              <w:sdtPr>
                <w:id w:val="1076"/>
                <w:tag w:val="case_0_item_3_reason"/>
                <w:alias w:val="case_0_item_3_reason"/>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Omission/correction: </w:t>
            </w:r>
            <w:sdt>
              <w:sdtPr>
                <w:id w:val="1077"/>
                <w:tag w:val="case_0_item_3_missing"/>
                <w:alias w:val="case_0_item_3_missing"/>
                <w:text w:multiLine="1"/>
              </w:sdtPr>
              <w:sdtContent>
                <w:r>
                  <w:rPr>
                    <w:sz w:val="21"/>
                    <w:rFonts w:eastAsia="Arial" w:ascii="Arial" w:hAnsi="Arial" w:cs="Arial"/>
                    <w:szCs w:val="21"/>
                  </w:rPr>
                  <w:t xml:space="preserve">___________</w:t>
                </w:r>
              </w:sdtContent>
            </w:sdt>
          </w:p>
        </w:tc>
      </w:tr>
      <w:tr>
        <w:trPr>
          <w:cantSplit/>
        </w:trPr>
        <w:tc>
          <w:tcPr>
            <w:tcW w:type="dxa" w:w="3799"/>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4 Dose and duration</w:t>
              <w:br/>
              <w:t>For this patient's circumstances: terbinafine 125 mg orally once daily for 12 weeks.</w:t>
              <w:br/>
              <w:t>Original rule: incorrect dose or duration, automatic FAIL under the original rubric.</w:t>
            </w:r>
          </w:p>
        </w:tc>
        <w:tc>
          <w:tcPr>
            <w:tcW w:type="dxa" w:w="2477"/>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sdt>
              <w:sdtPr>
                <w:id w:val="1078"/>
                <w:tag w:val="case_0_item_4_status_0"/>
                <w:alias w:val="case_0_item_4_status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Meets  </w:t>
            </w:r>
            <w:r>
              <w:br/>
            </w:r>
            <w:sdt>
              <w:sdtPr>
                <w:id w:val="1079"/>
                <w:tag w:val="case_0_item_4_status_1"/>
                <w:alias w:val="case_0_item_4_status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Partly meets  </w:t>
            </w:r>
          </w:p>
          <w:p>
            <w:pPr>
              <w:spacing w:after="30" w:line="246" w:lineRule="auto"/>
            </w:pPr>
            <w:sdt>
              <w:sdtPr>
                <w:id w:val="1080"/>
                <w:tag w:val="case_0_item_4_status_2"/>
                <w:alias w:val="case_0_item_4_status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Does not meet  </w:t>
            </w:r>
            <w:r>
              <w:br/>
            </w:r>
            <w:sdt>
              <w:sdtPr>
                <w:id w:val="1081"/>
                <w:tag w:val="case_0_item_4_status_3"/>
                <w:alias w:val="case_0_item_4_status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p>
          <w:p>
            <w:pPr>
              <w:spacing w:after="30" w:line="246" w:lineRule="auto"/>
            </w:pPr>
            <w:sdt>
              <w:sdtPr>
                <w:id w:val="1082"/>
                <w:tag w:val="case_0_item_4_status_4"/>
                <w:alias w:val="case_0_item_4_status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p>
            <w:pPr>
              <w:spacing w:after="30" w:line="246" w:lineRule="auto"/>
            </w:pPr>
            <w:r>
              <w:rPr>
                <w:sz w:val="21"/>
                <w:rFonts w:ascii="Arial" w:hAnsi="Arial" w:eastAsia="Arial" w:cs="Arial"/>
                <w:szCs w:val="21"/>
              </w:rPr>
              <w:t xml:space="preserve">Consequence: </w:t>
            </w:r>
            <w:sdt>
              <w:sdtPr>
                <w:id w:val="1083"/>
                <w:tag w:val="case_0_item_4_consequence"/>
                <w:alias w:val="case_0_item_4_consequence"/>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Error: </w:t>
            </w:r>
            <w:sdt>
              <w:sdtPr>
                <w:id w:val="1084"/>
                <w:tag w:val="case_0_item_4_history"/>
                <w:alias w:val="case_0_item_4_history"/>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Content>
                <w:r>
                  <w:rPr>
                    <w:rFonts w:ascii="Arial" w:hAnsi="Arial" w:eastAsia="Arial" w:cs="Arial"/>
                    <w:sz w:val="21"/>
                    <w:szCs w:val="21"/>
                  </w:rPr>
                  <w:t>Select</w:t>
                </w:r>
              </w:sdtContent>
            </w:sdt>
          </w:p>
          <w:p>
            <w:pPr>
              <w:spacing w:after="30" w:line="246" w:lineRule="auto"/>
            </w:pPr>
            <w:r>
              <w:rPr>
                <w:sz w:val="21"/>
                <w:rFonts w:ascii="Arial" w:hAnsi="Arial" w:eastAsia="Arial" w:cs="Arial"/>
                <w:szCs w:val="21"/>
              </w:rPr>
              <w:t xml:space="preserve">Review: </w:t>
            </w:r>
            <w:sdt>
              <w:sdtPr>
                <w:id w:val="1085"/>
                <w:tag w:val="case_0_item_4_review"/>
                <w:alias w:val="case_0_item_4_review"/>
                <w:dropDownList>
                  <w:listItem w:displayText="Select" w:value="Select"/>
                  <w:listItem w:displayText="Not required" w:value="Not required"/>
                  <w:listItem w:displayText="Required" w:value="Required"/>
                </w:dropDownList>
              </w:sdtPr>
              <w:sdtContent>
                <w:r>
                  <w:rPr>
                    <w:rFonts w:ascii="Arial" w:hAnsi="Arial" w:eastAsia="Arial" w:cs="Arial"/>
                    <w:sz w:val="21"/>
                    <w:szCs w:val="21"/>
                  </w:rPr>
                  <w:t>Select</w:t>
                </w:r>
              </w:sdtContent>
            </w:sdt>
          </w:p>
        </w:tc>
        <w:tc>
          <w:tcPr>
            <w:tcW w:type="dxa" w:w="308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086"/>
                <w:tag w:val="case_0_item_4_quote"/>
                <w:alias w:val="case_0_item_4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Reason: </w:t>
            </w:r>
            <w:sdt>
              <w:sdtPr>
                <w:id w:val="1087"/>
                <w:tag w:val="case_0_item_4_reason"/>
                <w:alias w:val="case_0_item_4_reason"/>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Omission/correction: </w:t>
            </w:r>
            <w:sdt>
              <w:sdtPr>
                <w:id w:val="1088"/>
                <w:tag w:val="case_0_item_4_missing"/>
                <w:alias w:val="case_0_item_4_missing"/>
                <w:text w:multiLine="1"/>
              </w:sdtPr>
              <w:sdtContent>
                <w:r>
                  <w:rPr>
                    <w:sz w:val="21"/>
                    <w:rFonts w:eastAsia="Arial" w:ascii="Arial" w:hAnsi="Arial" w:cs="Arial"/>
                    <w:szCs w:val="21"/>
                  </w:rPr>
                  <w:t xml:space="preserve">___________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p>
      <w:pPr>
        <w:spacing w:line="246" w:lineRule="auto" w:after="80"/>
      </w:pPr>
      <w:r>
        <w:rPr>
          <w:sz w:val="21"/>
          <w:rFonts w:ascii="Arial" w:hAnsi="Arial" w:eastAsia="Arial" w:cs="Arial"/>
          <w:szCs w:val="21"/>
        </w:rPr>
        <w:t>Use the full original rubric separately for identity checks, the time limit, professionalism and the follow-up question on carbamide. These four items do not constitute the overall station grade.</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16"/>
        <w:gridCol w:w="3744"/>
      </w:tblGrid>
      <w:tr>
        <w:trPr>
          <w:cantSplit/>
          <w:tblHeader/>
        </w:trPr>
        <w:tc>
          <w:tcPr>
            <w:tcW w:type="dxa" w:w="5616"/>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Key station-level consequences and reasons</w:t>
            </w:r>
          </w:p>
        </w:tc>
        <w:tc>
          <w:tcPr>
            <w:tcW w:type="dxa" w:w="3744"/>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Selected core items; not a full-rubric total</w:t>
            </w:r>
          </w:p>
        </w:tc>
      </w:tr>
      <w:tr>
        <w:trPr>
          <w:cantSplit/>
        </w:trPr>
        <w:tc>
          <w:tcPr>
            <w:tcW w:type="dxa" w:w="5616"/>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089"/>
                <w:tag w:val="case_0_global_0"/>
                <w:alias w:val="case_0_global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None  </w:t>
            </w:r>
            <w:sdt>
              <w:sdtPr>
                <w:id w:val="1090"/>
                <w:tag w:val="case_0_global_1"/>
                <w:alias w:val="case_0_global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Grade cap  </w:t>
            </w:r>
            <w:sdt>
              <w:sdtPr>
                <w:id w:val="1091"/>
                <w:tag w:val="case_0_global_2"/>
                <w:alias w:val="case_0_global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Grade reduction  </w:t>
            </w:r>
          </w:p>
          <w:p>
            <w:pPr>
              <w:spacing w:after="30" w:line="246" w:lineRule="auto"/>
            </w:pPr>
            <w:sdt>
              <w:sdtPr>
                <w:id w:val="1092"/>
                <w:tag w:val="case_0_global_3"/>
                <w:alias w:val="case_0_global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Automatic FAIL  </w:t>
            </w:r>
            <w:sdt>
              <w:sdtPr>
                <w:id w:val="1093"/>
                <w:tag w:val="case_0_global_4"/>
                <w:alias w:val="case_0_global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Review required  </w:t>
            </w:r>
          </w:p>
          <w:p>
            <w:pPr>
              <w:spacing w:after="30" w:line="246" w:lineRule="auto"/>
            </w:pPr>
            <w:r>
              <w:rPr>
                <w:sz w:val="21"/>
                <w:rFonts w:ascii="Arial" w:hAnsi="Arial" w:eastAsia="Arial" w:cs="Arial"/>
                <w:szCs w:val="21"/>
              </w:rPr>
              <w:t xml:space="preserve">Value and reason: </w:t>
            </w:r>
            <w:sdt>
              <w:sdtPr>
                <w:id w:val="1094"/>
                <w:tag w:val="case_0_globaldetail"/>
                <w:alias w:val="case_0_globaldetail"/>
                <w:text w:multiLine="1"/>
              </w:sdtPr>
              <w:sdtContent>
                <w:r>
                  <w:rPr>
                    <w:sz w:val="21"/>
                    <w:rFonts w:eastAsia="Arial" w:ascii="Arial" w:hAnsi="Arial" w:cs="Arial"/>
                    <w:szCs w:val="21"/>
                  </w:rPr>
                  <w:t xml:space="preserve">__________________</w:t>
                </w:r>
              </w:sdtContent>
            </w:sdt>
          </w:p>
        </w:tc>
        <w:tc>
          <w:tcPr>
            <w:tcW w:type="dxa" w:w="374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095"/>
                <w:tag w:val="case_0_full_0"/>
                <w:alias w:val="case_0_full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Full faculty rubric also completed  </w:t>
            </w:r>
          </w:p>
          <w:p>
            <w:pPr>
              <w:spacing w:after="30" w:line="246" w:lineRule="auto"/>
            </w:pPr>
            <w:sdt>
              <w:sdtPr>
                <w:id w:val="1096"/>
                <w:tag w:val="case_0_full_1"/>
                <w:alias w:val="case_0_full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Core-item form only  </w:t>
            </w:r>
          </w:p>
          <w:p>
            <w:pPr>
              <w:spacing w:after="30" w:line="246" w:lineRule="auto"/>
            </w:pPr>
            <w:r>
              <w:rPr>
                <w:sz w:val="21"/>
                <w:rFonts w:ascii="Arial" w:hAnsi="Arial" w:eastAsia="Arial" w:cs="Arial"/>
                <w:szCs w:val="21"/>
              </w:rPr>
              <w:t xml:space="preserve">Original-rubric grade, if available: </w:t>
            </w:r>
            <w:sdt>
              <w:sdtPr>
                <w:id w:val="1097"/>
                <w:tag w:val="case_0_referencegrade"/>
                <w:alias w:val="case_0_referencegrade"/>
                <w:text w:multiLine="1"/>
              </w:sdtPr>
              <w:sdtContent>
                <w:r>
                  <w:rPr>
                    <w:sz w:val="21"/>
                    <w:rFonts w:eastAsia="Arial" w:ascii="Arial" w:hAnsi="Arial" w:cs="Arial"/>
                    <w:szCs w:val="21"/>
                  </w:rPr>
                  <w:t xml:space="preserve">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p>
      <w:pPr>
        <w:spacing w:after="80" w:line="246" w:lineRule="auto"/>
      </w:pPr>
      <w:r>
        <w:rPr>
          <w:rFonts w:ascii="Arial" w:hAnsi="Arial" w:eastAsia="Arial" w:cs="Arial"/>
          <w:sz w:val="21"/>
          <w:szCs w:val="21"/>
        </w:rPr>
      </w:r>
      <w:hyperlink r:id="rId13">
        <w:r>
          <w:rPr>
            <w:color w:val="184E7B"/>
            <w:u w:val="single"/>
            <w:sz w:val="20"/>
            <w:rFonts w:ascii="Arial" w:hAnsi="Arial" w:eastAsia="Arial" w:cs="Arial"/>
            <w:szCs w:val="20"/>
          </w:rPr>
          <w:t>Faculty's original onychomycosis rubric</w:t>
        </w:r>
      </w:hyperlink>
      <w:r>
        <w:rPr>
          <w:rFonts w:ascii="Arial" w:hAnsi="Arial" w:eastAsia="Arial" w:cs="Arial"/>
          <w:sz w:val="21"/>
          <w:szCs w:val="21"/>
        </w:rPr>
        <w:t xml:space="preserve">　</w:t>
      </w:r>
      <w:hyperlink r:id="rId17">
        <w:r>
          <w:rPr>
            <w:color w:val="184E7B"/>
            <w:u w:val="single"/>
            <w:sz w:val="20"/>
            <w:rFonts w:ascii="Arial" w:hAnsi="Arial" w:eastAsia="Arial" w:cs="Arial"/>
            <w:szCs w:val="20"/>
          </w:rPr>
          <w:t>YT's comments, pages 13–15</w:t>
        </w:r>
      </w:hyperlink>
    </w:p>
    <w:p>
      <w:pPr>
        <w:pStyle w:val="Heading1"/>
        <w:pageBreakBefore w:val="1"/>
        <w:spacing w:line="246" w:lineRule="auto" w:after="80"/>
      </w:pPr>
      <w:r>
        <w:rPr>
          <w:rFonts w:ascii="Arial" w:hAnsi="Arial" w:eastAsia="Arial" w:cs="Arial"/>
          <w:sz w:val="26"/>
          <w:szCs w:val="26"/>
        </w:rPr>
        <w:t>Appendix B2. Faculty Assessment: Migraine</w:t>
      </w:r>
    </w:p>
    <w:p>
      <w:pPr>
        <w:spacing w:line="246" w:lineRule="auto" w:after="80"/>
      </w:pPr>
      <w:r>
        <w:rPr>
          <w:rFonts w:ascii="Arial" w:hAnsi="Arial" w:eastAsia="Arial" w:cs="Arial"/>
          <w:sz w:val="21"/>
          <w:szCs w:val="21"/>
        </w:rPr>
        <w:t>Complete independently before viewing the AI decision. For each item, select the completion status and enter the consequence, quote and reason. Select the error status (no error/unresolved/corrected) and whether review is required. For 'Not applicable', explain the untriggered condition; other inapplicable fields may be left blank. If speech is unclear, record the missing evidence rather than selecting 'No error'. Use the dropdowns in Word or write the responses on a printed copy.</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2"/>
        <w:gridCol w:w="2312"/>
        <w:gridCol w:w="2368"/>
        <w:gridCol w:w="2368"/>
      </w:tblGrid>
      <w:tr>
        <w:trPr>
          <w:cantSplit/>
          <w:tblHeader/>
        </w:trPr>
        <w:tc>
          <w:tcPr>
            <w:tcW w:type="dxa" w:w="2312"/>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Record ID</w:t>
            </w:r>
          </w:p>
        </w:tc>
        <w:tc>
          <w:tcPr>
            <w:tcW w:type="dxa" w:w="2312"/>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Station</w:t>
            </w:r>
          </w:p>
        </w:tc>
        <w:tc>
          <w:tcPr>
            <w:tcW w:type="dxa" w:w="236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Faculty or student ID</w:t>
            </w:r>
          </w:p>
        </w:tc>
        <w:tc>
          <w:tcPr>
            <w:tcW w:type="dxa" w:w="236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Date</w:t>
            </w:r>
          </w:p>
        </w:tc>
      </w:tr>
      <w:tr>
        <w:trPr>
          <w:cantSplit/>
        </w:trPr>
        <w:tc>
          <w:tcPr>
            <w:tcW w:type="dxa" w:w="231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098"/>
                <w:tag w:val="case_1_meta_0"/>
                <w:alias w:val="case_1_meta_0"/>
                <w:text w:multiLine="1"/>
              </w:sdtPr>
              <w:sdtContent>
                <w:r>
                  <w:rPr>
                    <w:sz w:val="21"/>
                    <w:rFonts w:eastAsia="Arial" w:ascii="Arial" w:hAnsi="Arial" w:cs="Arial"/>
                    <w:szCs w:val="21"/>
                  </w:rPr>
                  <w:t xml:space="preserve">____________</w:t>
                </w:r>
              </w:sdtContent>
            </w:sdt>
          </w:p>
        </w:tc>
        <w:tc>
          <w:tcPr>
            <w:tcW w:type="dxa" w:w="231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r>
              <w:rPr>
                <w:sz w:val="21"/>
                <w:rFonts w:ascii="Arial" w:hAnsi="Arial" w:eastAsia="Arial" w:cs="Arial"/>
                <w:szCs w:val="21"/>
              </w:rPr>
              <w:t>Migraine</w:t>
            </w:r>
          </w:p>
        </w:tc>
        <w:tc>
          <w:tcPr>
            <w:tcW w:type="dxa" w:w="236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099"/>
                <w:tag w:val="case_1_meta_2"/>
                <w:alias w:val="case_1_meta_2"/>
                <w:text w:multiLine="1"/>
              </w:sdtPr>
              <w:sdtContent>
                <w:r>
                  <w:rPr>
                    <w:sz w:val="21"/>
                    <w:rFonts w:eastAsia="Arial" w:ascii="Arial" w:hAnsi="Arial" w:cs="Arial"/>
                    <w:szCs w:val="21"/>
                  </w:rPr>
                  <w:t xml:space="preserve">____________</w:t>
                </w:r>
              </w:sdtContent>
            </w:sdt>
          </w:p>
        </w:tc>
        <w:tc>
          <w:tcPr>
            <w:tcW w:type="dxa" w:w="236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100"/>
                <w:tag w:val="case_1_meta_3"/>
                <w:alias w:val="case_1_meta_3"/>
                <w:text w:multiLine="1"/>
              </w:sdtPr>
              <w:sdtContent>
                <w:r>
                  <w:rPr>
                    <w:sz w:val="21"/>
                    <w:rFonts w:eastAsia="Arial" w:ascii="Arial" w:hAnsi="Arial" w:cs="Arial"/>
                    <w:szCs w:val="21"/>
                  </w:rPr>
                  <w:t xml:space="preserve">____________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99"/>
        <w:gridCol w:w="2477"/>
        <w:gridCol w:w="3083"/>
      </w:tblGrid>
      <w:tr>
        <w:trPr>
          <w:cantSplit/>
          <w:tblHeader/>
        </w:trPr>
        <w:tc>
          <w:tcPr>
            <w:tcW w:type="dxa" w:w="3799"/>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Core requirement and original rule</w:t>
            </w:r>
          </w:p>
        </w:tc>
        <w:tc>
          <w:tcPr>
            <w:tcW w:type="dxa" w:w="2477"/>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Faculty judgement and consequence</w:t>
            </w:r>
          </w:p>
        </w:tc>
        <w:tc>
          <w:tcPr>
            <w:tcW w:type="dxa" w:w="3083"/>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Dialogue evidence and reason</w:t>
            </w:r>
          </w:p>
        </w:tc>
      </w:tr>
      <w:tr>
        <w:trPr>
          <w:cantSplit/>
        </w:trPr>
        <w:tc>
          <w:tcPr>
            <w:tcW w:type="dxa" w:w="3799"/>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1 Allergy check</w:t>
              <w:br/>
              <w:t>As required by the original rubric, asks about or verifies allergies when recommending an alternative medicine. If no alternative is recommended, this condition has not been triggered.</w:t>
              <w:br/>
              <w:t>Original rule: confirm before the activity whether the check must precede the first recommendation and what grade consequence applies. Do not import the patient-station failure rule.</w:t>
            </w:r>
          </w:p>
        </w:tc>
        <w:tc>
          <w:tcPr>
            <w:tcW w:type="dxa" w:w="2477"/>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101"/>
                <w:tag w:val="case_1_item_1_status_0"/>
                <w:alias w:val="case_1_item_1_status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Meets  </w:t>
            </w:r>
            <w:r>
              <w:br/>
            </w:r>
            <w:sdt>
              <w:sdtPr>
                <w:id w:val="1102"/>
                <w:tag w:val="case_1_item_1_status_1"/>
                <w:alias w:val="case_1_item_1_status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Partly meets  </w:t>
            </w:r>
          </w:p>
          <w:p>
            <w:pPr>
              <w:spacing w:after="30" w:line="246" w:lineRule="auto"/>
            </w:pPr>
            <w:sdt>
              <w:sdtPr>
                <w:id w:val="1103"/>
                <w:tag w:val="case_1_item_1_status_2"/>
                <w:alias w:val="case_1_item_1_status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Does not meet  </w:t>
            </w:r>
            <w:r>
              <w:br/>
            </w:r>
            <w:sdt>
              <w:sdtPr>
                <w:id w:val="1104"/>
                <w:tag w:val="case_1_item_1_status_3"/>
                <w:alias w:val="case_1_item_1_status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p>
          <w:p>
            <w:pPr>
              <w:spacing w:after="30" w:line="246" w:lineRule="auto"/>
            </w:pPr>
            <w:sdt>
              <w:sdtPr>
                <w:id w:val="1105"/>
                <w:tag w:val="case_1_item_1_status_4"/>
                <w:alias w:val="case_1_item_1_status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p>
            <w:pPr>
              <w:spacing w:after="30" w:line="246" w:lineRule="auto"/>
            </w:pPr>
            <w:r>
              <w:rPr>
                <w:sz w:val="21"/>
                <w:rFonts w:ascii="Arial" w:hAnsi="Arial" w:eastAsia="Arial" w:cs="Arial"/>
                <w:szCs w:val="21"/>
              </w:rPr>
              <w:t xml:space="preserve">Consequence: </w:t>
            </w:r>
            <w:sdt>
              <w:sdtPr>
                <w:id w:val="1106"/>
                <w:tag w:val="case_1_item_1_consequence"/>
                <w:alias w:val="case_1_item_1_consequence"/>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Error: </w:t>
            </w:r>
            <w:sdt>
              <w:sdtPr>
                <w:id w:val="1107"/>
                <w:tag w:val="case_1_item_1_history"/>
                <w:alias w:val="case_1_item_1_history"/>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Content>
                <w:r>
                  <w:rPr>
                    <w:rFonts w:ascii="Arial" w:hAnsi="Arial" w:eastAsia="Arial" w:cs="Arial"/>
                    <w:sz w:val="21"/>
                    <w:szCs w:val="21"/>
                  </w:rPr>
                  <w:t>Select</w:t>
                </w:r>
              </w:sdtContent>
            </w:sdt>
          </w:p>
          <w:p>
            <w:pPr>
              <w:spacing w:after="30" w:line="246" w:lineRule="auto"/>
            </w:pPr>
            <w:r>
              <w:rPr>
                <w:sz w:val="21"/>
                <w:rFonts w:ascii="Arial" w:hAnsi="Arial" w:eastAsia="Arial" w:cs="Arial"/>
                <w:szCs w:val="21"/>
              </w:rPr>
              <w:t xml:space="preserve">Review: </w:t>
            </w:r>
            <w:sdt>
              <w:sdtPr>
                <w:id w:val="1108"/>
                <w:tag w:val="case_1_item_1_review"/>
                <w:alias w:val="case_1_item_1_review"/>
                <w:dropDownList>
                  <w:listItem w:displayText="Select" w:value="Select"/>
                  <w:listItem w:displayText="Not required" w:value="Not required"/>
                  <w:listItem w:displayText="Required" w:value="Required"/>
                </w:dropDownList>
              </w:sdtPr>
              <w:sdtContent>
                <w:r>
                  <w:rPr>
                    <w:rFonts w:ascii="Arial" w:hAnsi="Arial" w:eastAsia="Arial" w:cs="Arial"/>
                    <w:sz w:val="21"/>
                    <w:szCs w:val="21"/>
                  </w:rPr>
                  <w:t>Select</w:t>
                </w:r>
              </w:sdtContent>
            </w:sdt>
          </w:p>
        </w:tc>
        <w:tc>
          <w:tcPr>
            <w:tcW w:type="dxa" w:w="308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109"/>
                <w:tag w:val="case_1_item_1_quote"/>
                <w:alias w:val="case_1_item_1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Reason: </w:t>
            </w:r>
            <w:sdt>
              <w:sdtPr>
                <w:id w:val="1110"/>
                <w:tag w:val="case_1_item_1_reason"/>
                <w:alias w:val="case_1_item_1_reason"/>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Omission/correction: </w:t>
            </w:r>
            <w:sdt>
              <w:sdtPr>
                <w:id w:val="1111"/>
                <w:tag w:val="case_1_item_1_missing"/>
                <w:alias w:val="case_1_item_1_missing"/>
                <w:text w:multiLine="1"/>
              </w:sdtPr>
              <w:sdtContent>
                <w:r>
                  <w:rPr>
                    <w:sz w:val="21"/>
                    <w:rFonts w:eastAsia="Arial" w:ascii="Arial" w:hAnsi="Arial" w:cs="Arial"/>
                    <w:szCs w:val="21"/>
                  </w:rPr>
                  <w:t xml:space="preserve">___________</w:t>
                </w:r>
              </w:sdtContent>
            </w:sdt>
          </w:p>
        </w:tc>
      </w:tr>
      <w:tr>
        <w:trPr>
          <w:cantSplit/>
        </w:trPr>
        <w:tc>
          <w:tcPr>
            <w:tcW w:type="dxa" w:w="3799"/>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2 Cafergot suitability</w:t>
              <w:br/>
              <w:t>Recognises that Cafergot/ergotamine is contraindicated or unsuitable given this patient's cardiovascular and other relevant conditions.</w:t>
              <w:br/>
              <w:t>Original rule: identified after an authorised prompt, maximum C+; still not identified after the prompt, automatic FAIL.</w:t>
            </w:r>
          </w:p>
        </w:tc>
        <w:tc>
          <w:tcPr>
            <w:tcW w:type="dxa" w:w="2477"/>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sdt>
              <w:sdtPr>
                <w:id w:val="1112"/>
                <w:tag w:val="case_1_item_2_status_0"/>
                <w:alias w:val="case_1_item_2_status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Meets  </w:t>
            </w:r>
            <w:r>
              <w:br/>
            </w:r>
            <w:sdt>
              <w:sdtPr>
                <w:id w:val="1113"/>
                <w:tag w:val="case_1_item_2_status_1"/>
                <w:alias w:val="case_1_item_2_status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Partly meets  </w:t>
            </w:r>
          </w:p>
          <w:p>
            <w:pPr>
              <w:spacing w:after="30" w:line="246" w:lineRule="auto"/>
            </w:pPr>
            <w:sdt>
              <w:sdtPr>
                <w:id w:val="1114"/>
                <w:tag w:val="case_1_item_2_status_2"/>
                <w:alias w:val="case_1_item_2_status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Does not meet  </w:t>
            </w:r>
            <w:r>
              <w:br/>
            </w:r>
            <w:sdt>
              <w:sdtPr>
                <w:id w:val="1115"/>
                <w:tag w:val="case_1_item_2_status_3"/>
                <w:alias w:val="case_1_item_2_status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p>
          <w:p>
            <w:pPr>
              <w:spacing w:after="30" w:line="246" w:lineRule="auto"/>
            </w:pPr>
            <w:sdt>
              <w:sdtPr>
                <w:id w:val="1116"/>
                <w:tag w:val="case_1_item_2_status_4"/>
                <w:alias w:val="case_1_item_2_status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p>
            <w:pPr>
              <w:spacing w:after="30" w:line="246" w:lineRule="auto"/>
            </w:pPr>
            <w:r>
              <w:rPr>
                <w:sz w:val="21"/>
                <w:rFonts w:ascii="Arial" w:hAnsi="Arial" w:eastAsia="Arial" w:cs="Arial"/>
                <w:szCs w:val="21"/>
              </w:rPr>
              <w:t xml:space="preserve">Consequence: </w:t>
            </w:r>
            <w:sdt>
              <w:sdtPr>
                <w:id w:val="1117"/>
                <w:tag w:val="case_1_item_2_consequence"/>
                <w:alias w:val="case_1_item_2_consequence"/>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Error: </w:t>
            </w:r>
            <w:sdt>
              <w:sdtPr>
                <w:id w:val="1118"/>
                <w:tag w:val="case_1_item_2_history"/>
                <w:alias w:val="case_1_item_2_history"/>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Content>
                <w:r>
                  <w:rPr>
                    <w:rFonts w:ascii="Arial" w:hAnsi="Arial" w:eastAsia="Arial" w:cs="Arial"/>
                    <w:sz w:val="21"/>
                    <w:szCs w:val="21"/>
                  </w:rPr>
                  <w:t>Select</w:t>
                </w:r>
              </w:sdtContent>
            </w:sdt>
          </w:p>
          <w:p>
            <w:pPr>
              <w:spacing w:after="30" w:line="246" w:lineRule="auto"/>
            </w:pPr>
            <w:r>
              <w:rPr>
                <w:sz w:val="21"/>
                <w:rFonts w:ascii="Arial" w:hAnsi="Arial" w:eastAsia="Arial" w:cs="Arial"/>
                <w:szCs w:val="21"/>
              </w:rPr>
              <w:t xml:space="preserve">Review: </w:t>
            </w:r>
            <w:sdt>
              <w:sdtPr>
                <w:id w:val="1119"/>
                <w:tag w:val="case_1_item_2_review"/>
                <w:alias w:val="case_1_item_2_review"/>
                <w:dropDownList>
                  <w:listItem w:displayText="Select" w:value="Select"/>
                  <w:listItem w:displayText="Not required" w:value="Not required"/>
                  <w:listItem w:displayText="Required" w:value="Required"/>
                </w:dropDownList>
              </w:sdtPr>
              <w:sdtContent>
                <w:r>
                  <w:rPr>
                    <w:rFonts w:ascii="Arial" w:hAnsi="Arial" w:eastAsia="Arial" w:cs="Arial"/>
                    <w:sz w:val="21"/>
                    <w:szCs w:val="21"/>
                  </w:rPr>
                  <w:t>Select</w:t>
                </w:r>
              </w:sdtContent>
            </w:sdt>
          </w:p>
        </w:tc>
        <w:tc>
          <w:tcPr>
            <w:tcW w:type="dxa" w:w="308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120"/>
                <w:tag w:val="case_1_item_2_quote"/>
                <w:alias w:val="case_1_item_2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Reason: </w:t>
            </w:r>
            <w:sdt>
              <w:sdtPr>
                <w:id w:val="1121"/>
                <w:tag w:val="case_1_item_2_reason"/>
                <w:alias w:val="case_1_item_2_reason"/>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Omission/correction: </w:t>
            </w:r>
            <w:sdt>
              <w:sdtPr>
                <w:id w:val="1122"/>
                <w:tag w:val="case_1_item_2_missing"/>
                <w:alias w:val="case_1_item_2_missing"/>
                <w:text w:multiLine="1"/>
              </w:sdtPr>
              <w:sdtContent>
                <w:r>
                  <w:rPr>
                    <w:sz w:val="21"/>
                    <w:rFonts w:eastAsia="Arial" w:ascii="Arial" w:hAnsi="Arial" w:cs="Arial"/>
                    <w:szCs w:val="21"/>
                  </w:rPr>
                  <w:t xml:space="preserve">___________</w:t>
                </w:r>
              </w:sdtContent>
            </w:sdt>
          </w:p>
        </w:tc>
      </w:tr>
      <w:tr>
        <w:trPr>
          <w:cantSplit/>
        </w:trPr>
        <w:tc>
          <w:tcPr>
            <w:tcW w:type="dxa" w:w="3799"/>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3 Accepted alternative</w:t>
              <w:br/>
              <w:t>Proposes an acute-treatment alternative accepted by Professor YT Zhang, including lasmiditan or a CGRP option confirmed in the materials. Acceptance is not restricted to one medicine.</w:t>
              <w:br/>
              <w:t>Original rule: CGRP identified only after a prompt, maximum B−; no suitable alternative after the prompt, automatic FAIL under the original rubric. Prompt consequences for other accepted alternatives remain to be confirmed.</w:t>
            </w:r>
          </w:p>
        </w:tc>
        <w:tc>
          <w:tcPr>
            <w:tcW w:type="dxa" w:w="2477"/>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123"/>
                <w:tag w:val="case_1_item_3_status_0"/>
                <w:alias w:val="case_1_item_3_status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Meets  </w:t>
            </w:r>
            <w:r>
              <w:br/>
            </w:r>
            <w:sdt>
              <w:sdtPr>
                <w:id w:val="1124"/>
                <w:tag w:val="case_1_item_3_status_1"/>
                <w:alias w:val="case_1_item_3_status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Partly meets  </w:t>
            </w:r>
          </w:p>
          <w:p>
            <w:pPr>
              <w:spacing w:after="30" w:line="246" w:lineRule="auto"/>
            </w:pPr>
            <w:sdt>
              <w:sdtPr>
                <w:id w:val="1125"/>
                <w:tag w:val="case_1_item_3_status_2"/>
                <w:alias w:val="case_1_item_3_status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Does not meet  </w:t>
            </w:r>
            <w:r>
              <w:br/>
            </w:r>
            <w:sdt>
              <w:sdtPr>
                <w:id w:val="1126"/>
                <w:tag w:val="case_1_item_3_status_3"/>
                <w:alias w:val="case_1_item_3_status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p>
          <w:p>
            <w:pPr>
              <w:spacing w:after="30" w:line="246" w:lineRule="auto"/>
            </w:pPr>
            <w:sdt>
              <w:sdtPr>
                <w:id w:val="1127"/>
                <w:tag w:val="case_1_item_3_status_4"/>
                <w:alias w:val="case_1_item_3_status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p>
            <w:pPr>
              <w:spacing w:after="30" w:line="246" w:lineRule="auto"/>
            </w:pPr>
            <w:r>
              <w:rPr>
                <w:sz w:val="21"/>
                <w:rFonts w:ascii="Arial" w:hAnsi="Arial" w:eastAsia="Arial" w:cs="Arial"/>
                <w:szCs w:val="21"/>
              </w:rPr>
              <w:t xml:space="preserve">Consequence: </w:t>
            </w:r>
            <w:sdt>
              <w:sdtPr>
                <w:id w:val="1128"/>
                <w:tag w:val="case_1_item_3_consequence"/>
                <w:alias w:val="case_1_item_3_consequence"/>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Error: </w:t>
            </w:r>
            <w:sdt>
              <w:sdtPr>
                <w:id w:val="1129"/>
                <w:tag w:val="case_1_item_3_history"/>
                <w:alias w:val="case_1_item_3_history"/>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Content>
                <w:r>
                  <w:rPr>
                    <w:rFonts w:ascii="Arial" w:hAnsi="Arial" w:eastAsia="Arial" w:cs="Arial"/>
                    <w:sz w:val="21"/>
                    <w:szCs w:val="21"/>
                  </w:rPr>
                  <w:t>Select</w:t>
                </w:r>
              </w:sdtContent>
            </w:sdt>
          </w:p>
          <w:p>
            <w:pPr>
              <w:spacing w:after="30" w:line="246" w:lineRule="auto"/>
            </w:pPr>
            <w:r>
              <w:rPr>
                <w:sz w:val="21"/>
                <w:rFonts w:ascii="Arial" w:hAnsi="Arial" w:eastAsia="Arial" w:cs="Arial"/>
                <w:szCs w:val="21"/>
              </w:rPr>
              <w:t xml:space="preserve">Review: </w:t>
            </w:r>
            <w:sdt>
              <w:sdtPr>
                <w:id w:val="1130"/>
                <w:tag w:val="case_1_item_3_review"/>
                <w:alias w:val="case_1_item_3_review"/>
                <w:dropDownList>
                  <w:listItem w:displayText="Select" w:value="Select"/>
                  <w:listItem w:displayText="Not required" w:value="Not required"/>
                  <w:listItem w:displayText="Required" w:value="Required"/>
                </w:dropDownList>
              </w:sdtPr>
              <w:sdtContent>
                <w:r>
                  <w:rPr>
                    <w:rFonts w:ascii="Arial" w:hAnsi="Arial" w:eastAsia="Arial" w:cs="Arial"/>
                    <w:sz w:val="21"/>
                    <w:szCs w:val="21"/>
                  </w:rPr>
                  <w:t>Select</w:t>
                </w:r>
              </w:sdtContent>
            </w:sdt>
          </w:p>
        </w:tc>
        <w:tc>
          <w:tcPr>
            <w:tcW w:type="dxa" w:w="308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131"/>
                <w:tag w:val="case_1_item_3_quote"/>
                <w:alias w:val="case_1_item_3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Reason: </w:t>
            </w:r>
            <w:sdt>
              <w:sdtPr>
                <w:id w:val="1132"/>
                <w:tag w:val="case_1_item_3_reason"/>
                <w:alias w:val="case_1_item_3_reason"/>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Omission/correction: </w:t>
            </w:r>
            <w:sdt>
              <w:sdtPr>
                <w:id w:val="1133"/>
                <w:tag w:val="case_1_item_3_missing"/>
                <w:alias w:val="case_1_item_3_missing"/>
                <w:text w:multiLine="1"/>
              </w:sdtPr>
              <w:sdtContent>
                <w:r>
                  <w:rPr>
                    <w:sz w:val="21"/>
                    <w:rFonts w:eastAsia="Arial" w:ascii="Arial" w:hAnsi="Arial" w:cs="Arial"/>
                    <w:szCs w:val="21"/>
                  </w:rPr>
                  <w:t xml:space="preserve">___________</w:t>
                </w:r>
              </w:sdtContent>
            </w:sdt>
          </w:p>
        </w:tc>
      </w:tr>
      <w:tr>
        <w:trPr>
          <w:cantSplit/>
        </w:trPr>
        <w:tc>
          <w:tcPr>
            <w:tcW w:type="dxa" w:w="3799"/>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4 Selected regimen</w:t>
              <w:br/>
              <w:t>Gives the correct dose, route and regimen for the selected approved medicine. If rimegepant is chosen: a single oral dose of 75 mg as needed, maximum 75 mg in 24 hours.</w:t>
              <w:br/>
              <w:t>Original rule: incorrect information is subject to the original failure rules. Check other regimens against their faculty-approved references.</w:t>
            </w:r>
          </w:p>
        </w:tc>
        <w:tc>
          <w:tcPr>
            <w:tcW w:type="dxa" w:w="2477"/>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sdt>
              <w:sdtPr>
                <w:id w:val="1134"/>
                <w:tag w:val="case_1_item_4_status_0"/>
                <w:alias w:val="case_1_item_4_status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Meets  </w:t>
            </w:r>
            <w:r>
              <w:br/>
            </w:r>
            <w:sdt>
              <w:sdtPr>
                <w:id w:val="1135"/>
                <w:tag w:val="case_1_item_4_status_1"/>
                <w:alias w:val="case_1_item_4_status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Partly meets  </w:t>
            </w:r>
          </w:p>
          <w:p>
            <w:pPr>
              <w:spacing w:after="30" w:line="246" w:lineRule="auto"/>
            </w:pPr>
            <w:sdt>
              <w:sdtPr>
                <w:id w:val="1136"/>
                <w:tag w:val="case_1_item_4_status_2"/>
                <w:alias w:val="case_1_item_4_status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Does not meet  </w:t>
            </w:r>
            <w:r>
              <w:br/>
            </w:r>
            <w:sdt>
              <w:sdtPr>
                <w:id w:val="1137"/>
                <w:tag w:val="case_1_item_4_status_3"/>
                <w:alias w:val="case_1_item_4_status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p>
          <w:p>
            <w:pPr>
              <w:spacing w:after="30" w:line="246" w:lineRule="auto"/>
            </w:pPr>
            <w:sdt>
              <w:sdtPr>
                <w:id w:val="1138"/>
                <w:tag w:val="case_1_item_4_status_4"/>
                <w:alias w:val="case_1_item_4_status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p>
            <w:pPr>
              <w:spacing w:after="30" w:line="246" w:lineRule="auto"/>
            </w:pPr>
            <w:r>
              <w:rPr>
                <w:sz w:val="21"/>
                <w:rFonts w:ascii="Arial" w:hAnsi="Arial" w:eastAsia="Arial" w:cs="Arial"/>
                <w:szCs w:val="21"/>
              </w:rPr>
              <w:t xml:space="preserve">Consequence: </w:t>
            </w:r>
            <w:sdt>
              <w:sdtPr>
                <w:id w:val="1139"/>
                <w:tag w:val="case_1_item_4_consequence"/>
                <w:alias w:val="case_1_item_4_consequence"/>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Error: </w:t>
            </w:r>
            <w:sdt>
              <w:sdtPr>
                <w:id w:val="1140"/>
                <w:tag w:val="case_1_item_4_history"/>
                <w:alias w:val="case_1_item_4_history"/>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Content>
                <w:r>
                  <w:rPr>
                    <w:rFonts w:ascii="Arial" w:hAnsi="Arial" w:eastAsia="Arial" w:cs="Arial"/>
                    <w:sz w:val="21"/>
                    <w:szCs w:val="21"/>
                  </w:rPr>
                  <w:t>Select</w:t>
                </w:r>
              </w:sdtContent>
            </w:sdt>
          </w:p>
          <w:p>
            <w:pPr>
              <w:spacing w:after="30" w:line="246" w:lineRule="auto"/>
            </w:pPr>
            <w:r>
              <w:rPr>
                <w:sz w:val="21"/>
                <w:rFonts w:ascii="Arial" w:hAnsi="Arial" w:eastAsia="Arial" w:cs="Arial"/>
                <w:szCs w:val="21"/>
              </w:rPr>
              <w:t xml:space="preserve">Review: </w:t>
            </w:r>
            <w:sdt>
              <w:sdtPr>
                <w:id w:val="1141"/>
                <w:tag w:val="case_1_item_4_review"/>
                <w:alias w:val="case_1_item_4_review"/>
                <w:dropDownList>
                  <w:listItem w:displayText="Select" w:value="Select"/>
                  <w:listItem w:displayText="Not required" w:value="Not required"/>
                  <w:listItem w:displayText="Required" w:value="Required"/>
                </w:dropDownList>
              </w:sdtPr>
              <w:sdtContent>
                <w:r>
                  <w:rPr>
                    <w:rFonts w:ascii="Arial" w:hAnsi="Arial" w:eastAsia="Arial" w:cs="Arial"/>
                    <w:sz w:val="21"/>
                    <w:szCs w:val="21"/>
                  </w:rPr>
                  <w:t>Select</w:t>
                </w:r>
              </w:sdtContent>
            </w:sdt>
          </w:p>
        </w:tc>
        <w:tc>
          <w:tcPr>
            <w:tcW w:type="dxa" w:w="308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142"/>
                <w:tag w:val="case_1_item_4_quote"/>
                <w:alias w:val="case_1_item_4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Reason: </w:t>
            </w:r>
            <w:sdt>
              <w:sdtPr>
                <w:id w:val="1143"/>
                <w:tag w:val="case_1_item_4_reason"/>
                <w:alias w:val="case_1_item_4_reason"/>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Omission/correction: </w:t>
            </w:r>
            <w:sdt>
              <w:sdtPr>
                <w:id w:val="1144"/>
                <w:tag w:val="case_1_item_4_missing"/>
                <w:alias w:val="case_1_item_4_missing"/>
                <w:text w:multiLine="1"/>
              </w:sdtPr>
              <w:sdtContent>
                <w:r>
                  <w:rPr>
                    <w:sz w:val="21"/>
                    <w:rFonts w:eastAsia="Arial" w:ascii="Arial" w:hAnsi="Arial" w:cs="Arial"/>
                    <w:szCs w:val="21"/>
                  </w:rPr>
                  <w:t xml:space="preserve">___________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p>
      <w:pPr>
        <w:spacing w:line="246" w:lineRule="auto" w:after="80"/>
      </w:pPr>
      <w:r>
        <w:rPr>
          <w:sz w:val="21"/>
          <w:rFonts w:ascii="Arial" w:hAnsi="Arial" w:eastAsia="Arial" w:cs="Arial"/>
          <w:szCs w:val="21"/>
        </w:rPr>
        <w:t>Also check the follow-up question on magnesium, doctor identity and contact details, the time limit and professionalism. Under the original rubric, not answering the follow-up question caps the grade at B.</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16"/>
        <w:gridCol w:w="3744"/>
      </w:tblGrid>
      <w:tr>
        <w:trPr>
          <w:cantSplit/>
          <w:tblHeader/>
        </w:trPr>
        <w:tc>
          <w:tcPr>
            <w:tcW w:type="dxa" w:w="5616"/>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Key station-level consequences and reasons</w:t>
            </w:r>
          </w:p>
        </w:tc>
        <w:tc>
          <w:tcPr>
            <w:tcW w:type="dxa" w:w="3744"/>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Selected core items; not a full-rubric total</w:t>
            </w:r>
          </w:p>
        </w:tc>
      </w:tr>
      <w:tr>
        <w:trPr>
          <w:cantSplit/>
        </w:trPr>
        <w:tc>
          <w:tcPr>
            <w:tcW w:type="dxa" w:w="5616"/>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145"/>
                <w:tag w:val="case_1_global_0"/>
                <w:alias w:val="case_1_global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None  </w:t>
            </w:r>
            <w:sdt>
              <w:sdtPr>
                <w:id w:val="1146"/>
                <w:tag w:val="case_1_global_1"/>
                <w:alias w:val="case_1_global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Grade cap  </w:t>
            </w:r>
            <w:sdt>
              <w:sdtPr>
                <w:id w:val="1147"/>
                <w:tag w:val="case_1_global_2"/>
                <w:alias w:val="case_1_global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Grade reduction  </w:t>
            </w:r>
          </w:p>
          <w:p>
            <w:pPr>
              <w:spacing w:after="30" w:line="246" w:lineRule="auto"/>
            </w:pPr>
            <w:sdt>
              <w:sdtPr>
                <w:id w:val="1148"/>
                <w:tag w:val="case_1_global_3"/>
                <w:alias w:val="case_1_global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Automatic FAIL  </w:t>
            </w:r>
            <w:sdt>
              <w:sdtPr>
                <w:id w:val="1149"/>
                <w:tag w:val="case_1_global_4"/>
                <w:alias w:val="case_1_global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Review required  </w:t>
            </w:r>
          </w:p>
          <w:p>
            <w:pPr>
              <w:spacing w:after="30" w:line="246" w:lineRule="auto"/>
            </w:pPr>
            <w:r>
              <w:rPr>
                <w:sz w:val="21"/>
                <w:rFonts w:ascii="Arial" w:hAnsi="Arial" w:eastAsia="Arial" w:cs="Arial"/>
                <w:szCs w:val="21"/>
              </w:rPr>
              <w:t xml:space="preserve">Value and reason: </w:t>
            </w:r>
            <w:sdt>
              <w:sdtPr>
                <w:id w:val="1150"/>
                <w:tag w:val="case_1_globaldetail"/>
                <w:alias w:val="case_1_globaldetail"/>
                <w:text w:multiLine="1"/>
              </w:sdtPr>
              <w:sdtContent>
                <w:r>
                  <w:rPr>
                    <w:sz w:val="21"/>
                    <w:rFonts w:eastAsia="Arial" w:ascii="Arial" w:hAnsi="Arial" w:cs="Arial"/>
                    <w:szCs w:val="21"/>
                  </w:rPr>
                  <w:t xml:space="preserve">__________________</w:t>
                </w:r>
              </w:sdtContent>
            </w:sdt>
          </w:p>
        </w:tc>
        <w:tc>
          <w:tcPr>
            <w:tcW w:type="dxa" w:w="374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151"/>
                <w:tag w:val="case_1_full_0"/>
                <w:alias w:val="case_1_full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Full faculty rubric also completed  </w:t>
            </w:r>
          </w:p>
          <w:p>
            <w:pPr>
              <w:spacing w:after="30" w:line="246" w:lineRule="auto"/>
            </w:pPr>
            <w:sdt>
              <w:sdtPr>
                <w:id w:val="1152"/>
                <w:tag w:val="case_1_full_1"/>
                <w:alias w:val="case_1_full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Core-item form only  </w:t>
            </w:r>
          </w:p>
          <w:p>
            <w:pPr>
              <w:spacing w:after="30" w:line="246" w:lineRule="auto"/>
            </w:pPr>
            <w:r>
              <w:rPr>
                <w:sz w:val="21"/>
                <w:rFonts w:ascii="Arial" w:hAnsi="Arial" w:eastAsia="Arial" w:cs="Arial"/>
                <w:szCs w:val="21"/>
              </w:rPr>
              <w:t xml:space="preserve">Original-rubric grade, if available: </w:t>
            </w:r>
            <w:sdt>
              <w:sdtPr>
                <w:id w:val="1153"/>
                <w:tag w:val="case_1_referencegrade"/>
                <w:alias w:val="case_1_referencegrade"/>
                <w:text w:multiLine="1"/>
              </w:sdtPr>
              <w:sdtContent>
                <w:r>
                  <w:rPr>
                    <w:sz w:val="21"/>
                    <w:rFonts w:eastAsia="Arial" w:ascii="Arial" w:hAnsi="Arial" w:cs="Arial"/>
                    <w:szCs w:val="21"/>
                  </w:rPr>
                  <w:t xml:space="preserve">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p>
      <w:pPr>
        <w:spacing w:after="80" w:line="246" w:lineRule="auto"/>
      </w:pPr>
      <w:r>
        <w:rPr>
          <w:rFonts w:ascii="Arial" w:hAnsi="Arial" w:eastAsia="Arial" w:cs="Arial"/>
          <w:sz w:val="21"/>
          <w:szCs w:val="21"/>
        </w:rPr>
      </w:r>
      <w:hyperlink r:id="rId14">
        <w:r>
          <w:rPr>
            <w:color w:val="184E7B"/>
            <w:u w:val="single"/>
            <w:sz w:val="20"/>
            <w:rFonts w:ascii="Arial" w:hAnsi="Arial" w:eastAsia="Arial" w:cs="Arial"/>
            <w:szCs w:val="20"/>
          </w:rPr>
          <w:t>Faculty's original migraine rubric</w:t>
        </w:r>
      </w:hyperlink>
      <w:r>
        <w:rPr>
          <w:rFonts w:ascii="Arial" w:hAnsi="Arial" w:eastAsia="Arial" w:cs="Arial"/>
          <w:sz w:val="21"/>
          <w:szCs w:val="21"/>
        </w:rPr>
        <w:t xml:space="preserve">　</w:t>
      </w:r>
      <w:hyperlink r:id="rId17">
        <w:r>
          <w:rPr>
            <w:color w:val="184E7B"/>
            <w:u w:val="single"/>
            <w:sz w:val="20"/>
            <w:rFonts w:ascii="Arial" w:hAnsi="Arial" w:eastAsia="Arial" w:cs="Arial"/>
            <w:szCs w:val="20"/>
          </w:rPr>
          <w:t>YT's comments, pages 13–15</w:t>
        </w:r>
      </w:hyperlink>
    </w:p>
    <w:p>
      <w:pPr>
        <w:pStyle w:val="Heading1"/>
        <w:pageBreakBefore w:val="1"/>
        <w:spacing w:line="246" w:lineRule="auto" w:after="80"/>
      </w:pPr>
      <w:r>
        <w:rPr>
          <w:rFonts w:ascii="Arial" w:hAnsi="Arial" w:eastAsia="Arial" w:cs="Arial"/>
          <w:sz w:val="26"/>
          <w:szCs w:val="26"/>
        </w:rPr>
        <w:t>Appendix B3. Faculty Assessment: Diuretics</w:t>
      </w:r>
    </w:p>
    <w:p>
      <w:pPr>
        <w:spacing w:line="246" w:lineRule="auto" w:after="80"/>
      </w:pPr>
      <w:r>
        <w:rPr>
          <w:rFonts w:ascii="Arial" w:hAnsi="Arial" w:eastAsia="Arial" w:cs="Arial"/>
          <w:sz w:val="21"/>
          <w:szCs w:val="21"/>
        </w:rPr>
        <w:t>Complete independently before viewing the AI decision. For each item, select the completion status and enter the consequence, quote and reason. Select the error status (no error/unresolved/corrected) and whether review is required. For 'Not applicable', explain the untriggered condition; other inapplicable fields may be left blank. If speech is unclear, record the missing evidence rather than selecting 'No error'. Use the dropdowns in Word or write the responses on a printed copy.</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2"/>
        <w:gridCol w:w="2312"/>
        <w:gridCol w:w="2368"/>
        <w:gridCol w:w="2368"/>
      </w:tblGrid>
      <w:tr>
        <w:trPr>
          <w:cantSplit/>
          <w:tblHeader/>
        </w:trPr>
        <w:tc>
          <w:tcPr>
            <w:tcW w:type="dxa" w:w="2312"/>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Record ID</w:t>
            </w:r>
          </w:p>
        </w:tc>
        <w:tc>
          <w:tcPr>
            <w:tcW w:type="dxa" w:w="2312"/>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Station</w:t>
            </w:r>
          </w:p>
        </w:tc>
        <w:tc>
          <w:tcPr>
            <w:tcW w:type="dxa" w:w="236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Faculty or student ID</w:t>
            </w:r>
          </w:p>
        </w:tc>
        <w:tc>
          <w:tcPr>
            <w:tcW w:type="dxa" w:w="236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Date</w:t>
            </w:r>
          </w:p>
        </w:tc>
      </w:tr>
      <w:tr>
        <w:trPr>
          <w:cantSplit/>
        </w:trPr>
        <w:tc>
          <w:tcPr>
            <w:tcW w:type="dxa" w:w="231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154"/>
                <w:tag w:val="case_2_meta_0"/>
                <w:alias w:val="case_2_meta_0"/>
                <w:text w:multiLine="1"/>
              </w:sdtPr>
              <w:sdtContent>
                <w:r>
                  <w:rPr>
                    <w:sz w:val="21"/>
                    <w:rFonts w:eastAsia="Arial" w:ascii="Arial" w:hAnsi="Arial" w:cs="Arial"/>
                    <w:szCs w:val="21"/>
                  </w:rPr>
                  <w:t xml:space="preserve">____________</w:t>
                </w:r>
              </w:sdtContent>
            </w:sdt>
          </w:p>
        </w:tc>
        <w:tc>
          <w:tcPr>
            <w:tcW w:type="dxa" w:w="231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r>
              <w:rPr>
                <w:sz w:val="21"/>
                <w:rFonts w:ascii="Arial" w:hAnsi="Arial" w:eastAsia="Arial" w:cs="Arial"/>
                <w:szCs w:val="21"/>
              </w:rPr>
              <w:t>Diuretics</w:t>
            </w:r>
          </w:p>
        </w:tc>
        <w:tc>
          <w:tcPr>
            <w:tcW w:type="dxa" w:w="236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155"/>
                <w:tag w:val="case_2_meta_2"/>
                <w:alias w:val="case_2_meta_2"/>
                <w:text w:multiLine="1"/>
              </w:sdtPr>
              <w:sdtContent>
                <w:r>
                  <w:rPr>
                    <w:sz w:val="21"/>
                    <w:rFonts w:eastAsia="Arial" w:ascii="Arial" w:hAnsi="Arial" w:cs="Arial"/>
                    <w:szCs w:val="21"/>
                  </w:rPr>
                  <w:t xml:space="preserve">____________</w:t>
                </w:r>
              </w:sdtContent>
            </w:sdt>
          </w:p>
        </w:tc>
        <w:tc>
          <w:tcPr>
            <w:tcW w:type="dxa" w:w="236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156"/>
                <w:tag w:val="case_2_meta_3"/>
                <w:alias w:val="case_2_meta_3"/>
                <w:text w:multiLine="1"/>
              </w:sdtPr>
              <w:sdtContent>
                <w:r>
                  <w:rPr>
                    <w:sz w:val="21"/>
                    <w:rFonts w:eastAsia="Arial" w:ascii="Arial" w:hAnsi="Arial" w:cs="Arial"/>
                    <w:szCs w:val="21"/>
                  </w:rPr>
                  <w:t xml:space="preserve">____________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99"/>
        <w:gridCol w:w="2477"/>
        <w:gridCol w:w="3083"/>
      </w:tblGrid>
      <w:tr>
        <w:trPr>
          <w:cantSplit/>
          <w:tblHeader/>
        </w:trPr>
        <w:tc>
          <w:tcPr>
            <w:tcW w:type="dxa" w:w="3799"/>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Core requirement and original rule</w:t>
            </w:r>
          </w:p>
        </w:tc>
        <w:tc>
          <w:tcPr>
            <w:tcW w:type="dxa" w:w="2477"/>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Faculty judgement and consequence</w:t>
            </w:r>
          </w:p>
        </w:tc>
        <w:tc>
          <w:tcPr>
            <w:tcW w:type="dxa" w:w="3083"/>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Dialogue evidence and reason</w:t>
            </w:r>
          </w:p>
        </w:tc>
      </w:tr>
      <w:tr>
        <w:trPr>
          <w:cantSplit/>
        </w:trPr>
        <w:tc>
          <w:tcPr>
            <w:tcW w:type="dxa" w:w="3799"/>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1 Allergy check</w:t>
              <w:br/>
              <w:t>Asks about or verifies medication allergies before the consultation ends. This need not be the first question.</w:t>
              <w:br/>
              <w:t>Original rule: no allergy check during the consultation, automatic FAIL under the original rubric. Record a technically truncated session as interrupted; do not apply this rule mechanically.</w:t>
            </w:r>
          </w:p>
        </w:tc>
        <w:tc>
          <w:tcPr>
            <w:tcW w:type="dxa" w:w="2477"/>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157"/>
                <w:tag w:val="case_2_item_1_status_0"/>
                <w:alias w:val="case_2_item_1_status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Meets  </w:t>
            </w:r>
            <w:r>
              <w:br/>
            </w:r>
            <w:sdt>
              <w:sdtPr>
                <w:id w:val="1158"/>
                <w:tag w:val="case_2_item_1_status_1"/>
                <w:alias w:val="case_2_item_1_status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Partly meets  </w:t>
            </w:r>
          </w:p>
          <w:p>
            <w:pPr>
              <w:spacing w:after="30" w:line="246" w:lineRule="auto"/>
            </w:pPr>
            <w:sdt>
              <w:sdtPr>
                <w:id w:val="1159"/>
                <w:tag w:val="case_2_item_1_status_2"/>
                <w:alias w:val="case_2_item_1_status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Does not meet  </w:t>
            </w:r>
            <w:r>
              <w:br/>
            </w:r>
            <w:sdt>
              <w:sdtPr>
                <w:id w:val="1160"/>
                <w:tag w:val="case_2_item_1_status_3"/>
                <w:alias w:val="case_2_item_1_status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p>
          <w:p>
            <w:pPr>
              <w:spacing w:after="30" w:line="246" w:lineRule="auto"/>
            </w:pPr>
            <w:sdt>
              <w:sdtPr>
                <w:id w:val="1161"/>
                <w:tag w:val="case_2_item_1_status_4"/>
                <w:alias w:val="case_2_item_1_status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p>
            <w:pPr>
              <w:spacing w:after="30" w:line="246" w:lineRule="auto"/>
            </w:pPr>
            <w:r>
              <w:rPr>
                <w:sz w:val="21"/>
                <w:rFonts w:ascii="Arial" w:hAnsi="Arial" w:eastAsia="Arial" w:cs="Arial"/>
                <w:szCs w:val="21"/>
              </w:rPr>
              <w:t xml:space="preserve">Consequence: </w:t>
            </w:r>
            <w:sdt>
              <w:sdtPr>
                <w:id w:val="1162"/>
                <w:tag w:val="case_2_item_1_consequence"/>
                <w:alias w:val="case_2_item_1_consequence"/>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Error: </w:t>
            </w:r>
            <w:sdt>
              <w:sdtPr>
                <w:id w:val="1163"/>
                <w:tag w:val="case_2_item_1_history"/>
                <w:alias w:val="case_2_item_1_history"/>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Content>
                <w:r>
                  <w:rPr>
                    <w:rFonts w:ascii="Arial" w:hAnsi="Arial" w:eastAsia="Arial" w:cs="Arial"/>
                    <w:sz w:val="21"/>
                    <w:szCs w:val="21"/>
                  </w:rPr>
                  <w:t>Select</w:t>
                </w:r>
              </w:sdtContent>
            </w:sdt>
          </w:p>
          <w:p>
            <w:pPr>
              <w:spacing w:after="30" w:line="246" w:lineRule="auto"/>
            </w:pPr>
            <w:r>
              <w:rPr>
                <w:sz w:val="21"/>
                <w:rFonts w:ascii="Arial" w:hAnsi="Arial" w:eastAsia="Arial" w:cs="Arial"/>
                <w:szCs w:val="21"/>
              </w:rPr>
              <w:t xml:space="preserve">Review: </w:t>
            </w:r>
            <w:sdt>
              <w:sdtPr>
                <w:id w:val="1164"/>
                <w:tag w:val="case_2_item_1_review"/>
                <w:alias w:val="case_2_item_1_review"/>
                <w:dropDownList>
                  <w:listItem w:displayText="Select" w:value="Select"/>
                  <w:listItem w:displayText="Not required" w:value="Not required"/>
                  <w:listItem w:displayText="Required" w:value="Required"/>
                </w:dropDownList>
              </w:sdtPr>
              <w:sdtContent>
                <w:r>
                  <w:rPr>
                    <w:rFonts w:ascii="Arial" w:hAnsi="Arial" w:eastAsia="Arial" w:cs="Arial"/>
                    <w:sz w:val="21"/>
                    <w:szCs w:val="21"/>
                  </w:rPr>
                  <w:t>Select</w:t>
                </w:r>
              </w:sdtContent>
            </w:sdt>
          </w:p>
        </w:tc>
        <w:tc>
          <w:tcPr>
            <w:tcW w:type="dxa" w:w="308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165"/>
                <w:tag w:val="case_2_item_1_quote"/>
                <w:alias w:val="case_2_item_1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Reason: </w:t>
            </w:r>
            <w:sdt>
              <w:sdtPr>
                <w:id w:val="1166"/>
                <w:tag w:val="case_2_item_1_reason"/>
                <w:alias w:val="case_2_item_1_reason"/>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Omission/correction: </w:t>
            </w:r>
            <w:sdt>
              <w:sdtPr>
                <w:id w:val="1167"/>
                <w:tag w:val="case_2_item_1_missing"/>
                <w:alias w:val="case_2_item_1_missing"/>
                <w:text w:multiLine="1"/>
              </w:sdtPr>
              <w:sdtContent>
                <w:r>
                  <w:rPr>
                    <w:sz w:val="21"/>
                    <w:rFonts w:eastAsia="Arial" w:ascii="Arial" w:hAnsi="Arial" w:cs="Arial"/>
                    <w:szCs w:val="21"/>
                  </w:rPr>
                  <w:t xml:space="preserve">___________</w:t>
                </w:r>
              </w:sdtContent>
            </w:sdt>
          </w:p>
        </w:tc>
      </w:tr>
      <w:tr>
        <w:trPr>
          <w:cantSplit/>
        </w:trPr>
        <w:tc>
          <w:tcPr>
            <w:tcW w:type="dxa" w:w="3799"/>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2 Rosuvastatin regimen</w:t>
              <w:br/>
              <w:t>Correctly explains rosuvastatin 20 mg once daily to the patient.</w:t>
              <w:br/>
              <w:t>Original rule: apply the original rubric. Do not assign another medicine's as-needed regimen to rosuvastatin.</w:t>
            </w:r>
          </w:p>
        </w:tc>
        <w:tc>
          <w:tcPr>
            <w:tcW w:type="dxa" w:w="2477"/>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sdt>
              <w:sdtPr>
                <w:id w:val="1168"/>
                <w:tag w:val="case_2_item_2_status_0"/>
                <w:alias w:val="case_2_item_2_status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Meets  </w:t>
            </w:r>
            <w:r>
              <w:br/>
            </w:r>
            <w:sdt>
              <w:sdtPr>
                <w:id w:val="1169"/>
                <w:tag w:val="case_2_item_2_status_1"/>
                <w:alias w:val="case_2_item_2_status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Partly meets  </w:t>
            </w:r>
          </w:p>
          <w:p>
            <w:pPr>
              <w:spacing w:after="30" w:line="246" w:lineRule="auto"/>
            </w:pPr>
            <w:sdt>
              <w:sdtPr>
                <w:id w:val="1170"/>
                <w:tag w:val="case_2_item_2_status_2"/>
                <w:alias w:val="case_2_item_2_status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Does not meet  </w:t>
            </w:r>
            <w:r>
              <w:br/>
            </w:r>
            <w:sdt>
              <w:sdtPr>
                <w:id w:val="1171"/>
                <w:tag w:val="case_2_item_2_status_3"/>
                <w:alias w:val="case_2_item_2_status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p>
          <w:p>
            <w:pPr>
              <w:spacing w:after="30" w:line="246" w:lineRule="auto"/>
            </w:pPr>
            <w:sdt>
              <w:sdtPr>
                <w:id w:val="1172"/>
                <w:tag w:val="case_2_item_2_status_4"/>
                <w:alias w:val="case_2_item_2_status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p>
            <w:pPr>
              <w:spacing w:after="30" w:line="246" w:lineRule="auto"/>
            </w:pPr>
            <w:r>
              <w:rPr>
                <w:sz w:val="21"/>
                <w:rFonts w:ascii="Arial" w:hAnsi="Arial" w:eastAsia="Arial" w:cs="Arial"/>
                <w:szCs w:val="21"/>
              </w:rPr>
              <w:t xml:space="preserve">Consequence: </w:t>
            </w:r>
            <w:sdt>
              <w:sdtPr>
                <w:id w:val="1173"/>
                <w:tag w:val="case_2_item_2_consequence"/>
                <w:alias w:val="case_2_item_2_consequence"/>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Error: </w:t>
            </w:r>
            <w:sdt>
              <w:sdtPr>
                <w:id w:val="1174"/>
                <w:tag w:val="case_2_item_2_history"/>
                <w:alias w:val="case_2_item_2_history"/>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Content>
                <w:r>
                  <w:rPr>
                    <w:rFonts w:ascii="Arial" w:hAnsi="Arial" w:eastAsia="Arial" w:cs="Arial"/>
                    <w:sz w:val="21"/>
                    <w:szCs w:val="21"/>
                  </w:rPr>
                  <w:t>Select</w:t>
                </w:r>
              </w:sdtContent>
            </w:sdt>
          </w:p>
          <w:p>
            <w:pPr>
              <w:spacing w:after="30" w:line="246" w:lineRule="auto"/>
            </w:pPr>
            <w:r>
              <w:rPr>
                <w:sz w:val="21"/>
                <w:rFonts w:ascii="Arial" w:hAnsi="Arial" w:eastAsia="Arial" w:cs="Arial"/>
                <w:szCs w:val="21"/>
              </w:rPr>
              <w:t xml:space="preserve">Review: </w:t>
            </w:r>
            <w:sdt>
              <w:sdtPr>
                <w:id w:val="1175"/>
                <w:tag w:val="case_2_item_2_review"/>
                <w:alias w:val="case_2_item_2_review"/>
                <w:dropDownList>
                  <w:listItem w:displayText="Select" w:value="Select"/>
                  <w:listItem w:displayText="Not required" w:value="Not required"/>
                  <w:listItem w:displayText="Required" w:value="Required"/>
                </w:dropDownList>
              </w:sdtPr>
              <w:sdtContent>
                <w:r>
                  <w:rPr>
                    <w:rFonts w:ascii="Arial" w:hAnsi="Arial" w:eastAsia="Arial" w:cs="Arial"/>
                    <w:sz w:val="21"/>
                    <w:szCs w:val="21"/>
                  </w:rPr>
                  <w:t>Select</w:t>
                </w:r>
              </w:sdtContent>
            </w:sdt>
          </w:p>
        </w:tc>
        <w:tc>
          <w:tcPr>
            <w:tcW w:type="dxa" w:w="308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176"/>
                <w:tag w:val="case_2_item_2_quote"/>
                <w:alias w:val="case_2_item_2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Reason: </w:t>
            </w:r>
            <w:sdt>
              <w:sdtPr>
                <w:id w:val="1177"/>
                <w:tag w:val="case_2_item_2_reason"/>
                <w:alias w:val="case_2_item_2_reason"/>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Omission/correction: </w:t>
            </w:r>
            <w:sdt>
              <w:sdtPr>
                <w:id w:val="1178"/>
                <w:tag w:val="case_2_item_2_missing"/>
                <w:alias w:val="case_2_item_2_missing"/>
                <w:text w:multiLine="1"/>
              </w:sdtPr>
              <w:sdtContent>
                <w:r>
                  <w:rPr>
                    <w:sz w:val="21"/>
                    <w:rFonts w:eastAsia="Arial" w:ascii="Arial" w:hAnsi="Arial" w:cs="Arial"/>
                    <w:szCs w:val="21"/>
                  </w:rPr>
                  <w:t xml:space="preserve">___________</w:t>
                </w:r>
              </w:sdtContent>
            </w:sdt>
          </w:p>
        </w:tc>
      </w:tr>
      <w:tr>
        <w:trPr>
          <w:cantSplit/>
        </w:trPr>
        <w:tc>
          <w:tcPr>
            <w:tcW w:type="dxa" w:w="3799"/>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3 Frusemide regimen</w:t>
              <w:br/>
              <w:t>For fluid retention or oedema: frusemide 20 mg during the daytime as needed, maximum 20 mg per day, without increasing the dose independently.</w:t>
              <w:br/>
              <w:t>Original rule: only some required conditions explained, 'Partly meets'; apply the original rubric.</w:t>
            </w:r>
          </w:p>
        </w:tc>
        <w:tc>
          <w:tcPr>
            <w:tcW w:type="dxa" w:w="2477"/>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179"/>
                <w:tag w:val="case_2_item_3_status_0"/>
                <w:alias w:val="case_2_item_3_status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Meets  </w:t>
            </w:r>
            <w:r>
              <w:br/>
            </w:r>
            <w:sdt>
              <w:sdtPr>
                <w:id w:val="1180"/>
                <w:tag w:val="case_2_item_3_status_1"/>
                <w:alias w:val="case_2_item_3_status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Partly meets  </w:t>
            </w:r>
          </w:p>
          <w:p>
            <w:pPr>
              <w:spacing w:after="30" w:line="246" w:lineRule="auto"/>
            </w:pPr>
            <w:sdt>
              <w:sdtPr>
                <w:id w:val="1181"/>
                <w:tag w:val="case_2_item_3_status_2"/>
                <w:alias w:val="case_2_item_3_status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Does not meet  </w:t>
            </w:r>
            <w:r>
              <w:br/>
            </w:r>
            <w:sdt>
              <w:sdtPr>
                <w:id w:val="1182"/>
                <w:tag w:val="case_2_item_3_status_3"/>
                <w:alias w:val="case_2_item_3_status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p>
          <w:p>
            <w:pPr>
              <w:spacing w:after="30" w:line="246" w:lineRule="auto"/>
            </w:pPr>
            <w:sdt>
              <w:sdtPr>
                <w:id w:val="1183"/>
                <w:tag w:val="case_2_item_3_status_4"/>
                <w:alias w:val="case_2_item_3_status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p>
            <w:pPr>
              <w:spacing w:after="30" w:line="246" w:lineRule="auto"/>
            </w:pPr>
            <w:r>
              <w:rPr>
                <w:sz w:val="21"/>
                <w:rFonts w:ascii="Arial" w:hAnsi="Arial" w:eastAsia="Arial" w:cs="Arial"/>
                <w:szCs w:val="21"/>
              </w:rPr>
              <w:t xml:space="preserve">Consequence: </w:t>
            </w:r>
            <w:sdt>
              <w:sdtPr>
                <w:id w:val="1184"/>
                <w:tag w:val="case_2_item_3_consequence"/>
                <w:alias w:val="case_2_item_3_consequence"/>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Error: </w:t>
            </w:r>
            <w:sdt>
              <w:sdtPr>
                <w:id w:val="1185"/>
                <w:tag w:val="case_2_item_3_history"/>
                <w:alias w:val="case_2_item_3_history"/>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Content>
                <w:r>
                  <w:rPr>
                    <w:rFonts w:ascii="Arial" w:hAnsi="Arial" w:eastAsia="Arial" w:cs="Arial"/>
                    <w:sz w:val="21"/>
                    <w:szCs w:val="21"/>
                  </w:rPr>
                  <w:t>Select</w:t>
                </w:r>
              </w:sdtContent>
            </w:sdt>
          </w:p>
          <w:p>
            <w:pPr>
              <w:spacing w:after="30" w:line="246" w:lineRule="auto"/>
            </w:pPr>
            <w:r>
              <w:rPr>
                <w:sz w:val="21"/>
                <w:rFonts w:ascii="Arial" w:hAnsi="Arial" w:eastAsia="Arial" w:cs="Arial"/>
                <w:szCs w:val="21"/>
              </w:rPr>
              <w:t xml:space="preserve">Review: </w:t>
            </w:r>
            <w:sdt>
              <w:sdtPr>
                <w:id w:val="1186"/>
                <w:tag w:val="case_2_item_3_review"/>
                <w:alias w:val="case_2_item_3_review"/>
                <w:dropDownList>
                  <w:listItem w:displayText="Select" w:value="Select"/>
                  <w:listItem w:displayText="Not required" w:value="Not required"/>
                  <w:listItem w:displayText="Required" w:value="Required"/>
                </w:dropDownList>
              </w:sdtPr>
              <w:sdtContent>
                <w:r>
                  <w:rPr>
                    <w:rFonts w:ascii="Arial" w:hAnsi="Arial" w:eastAsia="Arial" w:cs="Arial"/>
                    <w:sz w:val="21"/>
                    <w:szCs w:val="21"/>
                  </w:rPr>
                  <w:t>Select</w:t>
                </w:r>
              </w:sdtContent>
            </w:sdt>
          </w:p>
        </w:tc>
        <w:tc>
          <w:tcPr>
            <w:tcW w:type="dxa" w:w="308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187"/>
                <w:tag w:val="case_2_item_3_quote"/>
                <w:alias w:val="case_2_item_3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Reason: </w:t>
            </w:r>
            <w:sdt>
              <w:sdtPr>
                <w:id w:val="1188"/>
                <w:tag w:val="case_2_item_3_reason"/>
                <w:alias w:val="case_2_item_3_reason"/>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Omission/correction: </w:t>
            </w:r>
            <w:sdt>
              <w:sdtPr>
                <w:id w:val="1189"/>
                <w:tag w:val="case_2_item_3_missing"/>
                <w:alias w:val="case_2_item_3_missing"/>
                <w:text w:multiLine="1"/>
              </w:sdtPr>
              <w:sdtContent>
                <w:r>
                  <w:rPr>
                    <w:sz w:val="21"/>
                    <w:rFonts w:eastAsia="Arial" w:ascii="Arial" w:hAnsi="Arial" w:cs="Arial"/>
                    <w:szCs w:val="21"/>
                  </w:rPr>
                  <w:t xml:space="preserve">___________</w:t>
                </w:r>
              </w:sdtContent>
            </w:sdt>
          </w:p>
        </w:tc>
      </w:tr>
      <w:tr>
        <w:trPr>
          <w:cantSplit/>
        </w:trPr>
        <w:tc>
          <w:tcPr>
            <w:tcW w:type="dxa" w:w="3799"/>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4 Urgent symptoms and seeking care</w:t>
              <w:br/>
              <w:t>Explains at least two of four urgent symptoms and the need to seek care: severe breathlessness, chest pain, fainting/confusion, or rapidly worsening swelling (YT 3.6).</w:t>
              <w:br/>
              <w:t>Original rule: a complete correct answer after a prompt incurs no grade reduction; an answer that remains incomplete incurs a half-grade reduction. Naming fewer than two symptoms is not equivalent to knowing no heart-failure symptoms.</w:t>
            </w:r>
          </w:p>
        </w:tc>
        <w:tc>
          <w:tcPr>
            <w:tcW w:type="dxa" w:w="2477"/>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sdt>
              <w:sdtPr>
                <w:id w:val="1190"/>
                <w:tag w:val="case_2_item_4_status_0"/>
                <w:alias w:val="case_2_item_4_status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Meets  </w:t>
            </w:r>
            <w:r>
              <w:br/>
            </w:r>
            <w:sdt>
              <w:sdtPr>
                <w:id w:val="1191"/>
                <w:tag w:val="case_2_item_4_status_1"/>
                <w:alias w:val="case_2_item_4_status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Partly meets  </w:t>
            </w:r>
          </w:p>
          <w:p>
            <w:pPr>
              <w:spacing w:after="30" w:line="246" w:lineRule="auto"/>
            </w:pPr>
            <w:sdt>
              <w:sdtPr>
                <w:id w:val="1192"/>
                <w:tag w:val="case_2_item_4_status_2"/>
                <w:alias w:val="case_2_item_4_status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Does not meet  </w:t>
            </w:r>
            <w:r>
              <w:br/>
            </w:r>
            <w:sdt>
              <w:sdtPr>
                <w:id w:val="1193"/>
                <w:tag w:val="case_2_item_4_status_3"/>
                <w:alias w:val="case_2_item_4_status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p>
          <w:p>
            <w:pPr>
              <w:spacing w:after="30" w:line="246" w:lineRule="auto"/>
            </w:pPr>
            <w:sdt>
              <w:sdtPr>
                <w:id w:val="1194"/>
                <w:tag w:val="case_2_item_4_status_4"/>
                <w:alias w:val="case_2_item_4_status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p>
            <w:pPr>
              <w:spacing w:after="30" w:line="246" w:lineRule="auto"/>
            </w:pPr>
            <w:r>
              <w:rPr>
                <w:sz w:val="21"/>
                <w:rFonts w:ascii="Arial" w:hAnsi="Arial" w:eastAsia="Arial" w:cs="Arial"/>
                <w:szCs w:val="21"/>
              </w:rPr>
              <w:t xml:space="preserve">Consequence: </w:t>
            </w:r>
            <w:sdt>
              <w:sdtPr>
                <w:id w:val="1195"/>
                <w:tag w:val="case_2_item_4_consequence"/>
                <w:alias w:val="case_2_item_4_consequence"/>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Error: </w:t>
            </w:r>
            <w:sdt>
              <w:sdtPr>
                <w:id w:val="1196"/>
                <w:tag w:val="case_2_item_4_history"/>
                <w:alias w:val="case_2_item_4_history"/>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Content>
                <w:r>
                  <w:rPr>
                    <w:rFonts w:ascii="Arial" w:hAnsi="Arial" w:eastAsia="Arial" w:cs="Arial"/>
                    <w:sz w:val="21"/>
                    <w:szCs w:val="21"/>
                  </w:rPr>
                  <w:t>Select</w:t>
                </w:r>
              </w:sdtContent>
            </w:sdt>
          </w:p>
          <w:p>
            <w:pPr>
              <w:spacing w:after="30" w:line="246" w:lineRule="auto"/>
            </w:pPr>
            <w:r>
              <w:rPr>
                <w:sz w:val="21"/>
                <w:rFonts w:ascii="Arial" w:hAnsi="Arial" w:eastAsia="Arial" w:cs="Arial"/>
                <w:szCs w:val="21"/>
              </w:rPr>
              <w:t xml:space="preserve">Review: </w:t>
            </w:r>
            <w:sdt>
              <w:sdtPr>
                <w:id w:val="1197"/>
                <w:tag w:val="case_2_item_4_review"/>
                <w:alias w:val="case_2_item_4_review"/>
                <w:dropDownList>
                  <w:listItem w:displayText="Select" w:value="Select"/>
                  <w:listItem w:displayText="Not required" w:value="Not required"/>
                  <w:listItem w:displayText="Required" w:value="Required"/>
                </w:dropDownList>
              </w:sdtPr>
              <w:sdtContent>
                <w:r>
                  <w:rPr>
                    <w:rFonts w:ascii="Arial" w:hAnsi="Arial" w:eastAsia="Arial" w:cs="Arial"/>
                    <w:sz w:val="21"/>
                    <w:szCs w:val="21"/>
                  </w:rPr>
                  <w:t>Select</w:t>
                </w:r>
              </w:sdtContent>
            </w:sdt>
          </w:p>
        </w:tc>
        <w:tc>
          <w:tcPr>
            <w:tcW w:type="dxa" w:w="308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198"/>
                <w:tag w:val="case_2_item_4_quote"/>
                <w:alias w:val="case_2_item_4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Reason: </w:t>
            </w:r>
            <w:sdt>
              <w:sdtPr>
                <w:id w:val="1199"/>
                <w:tag w:val="case_2_item_4_reason"/>
                <w:alias w:val="case_2_item_4_reason"/>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Omission/correction: </w:t>
            </w:r>
            <w:sdt>
              <w:sdtPr>
                <w:id w:val="1200"/>
                <w:tag w:val="case_2_item_4_missing"/>
                <w:alias w:val="case_2_item_4_missing"/>
                <w:text w:multiLine="1"/>
              </w:sdtPr>
              <w:sdtContent>
                <w:r>
                  <w:rPr>
                    <w:sz w:val="21"/>
                    <w:rFonts w:eastAsia="Arial" w:ascii="Arial" w:hAnsi="Arial" w:cs="Arial"/>
                    <w:szCs w:val="21"/>
                  </w:rPr>
                  <w:t xml:space="preserve">___________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p>
      <w:pPr>
        <w:spacing w:line="246" w:lineRule="auto" w:after="80"/>
      </w:pPr>
      <w:r>
        <w:rPr>
          <w:sz w:val="21"/>
          <w:rFonts w:ascii="Arial" w:hAnsi="Arial" w:eastAsia="Arial" w:cs="Arial"/>
          <w:szCs w:val="21"/>
        </w:rPr>
        <w:t>The original rubric also covers identity, teach-back, medication safety, missed doses and other items. This four-item form does not replace those items or the overall performance assessment.</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16"/>
        <w:gridCol w:w="3744"/>
      </w:tblGrid>
      <w:tr>
        <w:trPr>
          <w:cantSplit/>
          <w:tblHeader/>
        </w:trPr>
        <w:tc>
          <w:tcPr>
            <w:tcW w:type="dxa" w:w="5616"/>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Key station-level consequences and reasons</w:t>
            </w:r>
          </w:p>
        </w:tc>
        <w:tc>
          <w:tcPr>
            <w:tcW w:type="dxa" w:w="3744"/>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Selected core items; not a full-rubric total</w:t>
            </w:r>
          </w:p>
        </w:tc>
      </w:tr>
      <w:tr>
        <w:trPr>
          <w:cantSplit/>
        </w:trPr>
        <w:tc>
          <w:tcPr>
            <w:tcW w:type="dxa" w:w="5616"/>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201"/>
                <w:tag w:val="case_2_global_0"/>
                <w:alias w:val="case_2_global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None  </w:t>
            </w:r>
            <w:sdt>
              <w:sdtPr>
                <w:id w:val="1202"/>
                <w:tag w:val="case_2_global_1"/>
                <w:alias w:val="case_2_global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Grade cap  </w:t>
            </w:r>
            <w:sdt>
              <w:sdtPr>
                <w:id w:val="1203"/>
                <w:tag w:val="case_2_global_2"/>
                <w:alias w:val="case_2_global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Grade reduction  </w:t>
            </w:r>
          </w:p>
          <w:p>
            <w:pPr>
              <w:spacing w:after="30" w:line="246" w:lineRule="auto"/>
            </w:pPr>
            <w:sdt>
              <w:sdtPr>
                <w:id w:val="1204"/>
                <w:tag w:val="case_2_global_3"/>
                <w:alias w:val="case_2_global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Automatic FAIL  </w:t>
            </w:r>
            <w:sdt>
              <w:sdtPr>
                <w:id w:val="1205"/>
                <w:tag w:val="case_2_global_4"/>
                <w:alias w:val="case_2_global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Review required  </w:t>
            </w:r>
          </w:p>
          <w:p>
            <w:pPr>
              <w:spacing w:after="30" w:line="246" w:lineRule="auto"/>
            </w:pPr>
            <w:r>
              <w:rPr>
                <w:sz w:val="21"/>
                <w:rFonts w:ascii="Arial" w:hAnsi="Arial" w:eastAsia="Arial" w:cs="Arial"/>
                <w:szCs w:val="21"/>
              </w:rPr>
              <w:t xml:space="preserve">Value and reason: </w:t>
            </w:r>
            <w:sdt>
              <w:sdtPr>
                <w:id w:val="1206"/>
                <w:tag w:val="case_2_globaldetail"/>
                <w:alias w:val="case_2_globaldetail"/>
                <w:text w:multiLine="1"/>
              </w:sdtPr>
              <w:sdtContent>
                <w:r>
                  <w:rPr>
                    <w:sz w:val="21"/>
                    <w:rFonts w:eastAsia="Arial" w:ascii="Arial" w:hAnsi="Arial" w:cs="Arial"/>
                    <w:szCs w:val="21"/>
                  </w:rPr>
                  <w:t xml:space="preserve">__________________</w:t>
                </w:r>
              </w:sdtContent>
            </w:sdt>
          </w:p>
        </w:tc>
        <w:tc>
          <w:tcPr>
            <w:tcW w:type="dxa" w:w="374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207"/>
                <w:tag w:val="case_2_full_0"/>
                <w:alias w:val="case_2_full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Full faculty rubric also completed  </w:t>
            </w:r>
          </w:p>
          <w:p>
            <w:pPr>
              <w:spacing w:after="30" w:line="246" w:lineRule="auto"/>
            </w:pPr>
            <w:sdt>
              <w:sdtPr>
                <w:id w:val="1208"/>
                <w:tag w:val="case_2_full_1"/>
                <w:alias w:val="case_2_full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Core-item form only  </w:t>
            </w:r>
          </w:p>
          <w:p>
            <w:pPr>
              <w:spacing w:after="30" w:line="246" w:lineRule="auto"/>
            </w:pPr>
            <w:r>
              <w:rPr>
                <w:sz w:val="21"/>
                <w:rFonts w:ascii="Arial" w:hAnsi="Arial" w:eastAsia="Arial" w:cs="Arial"/>
                <w:szCs w:val="21"/>
              </w:rPr>
              <w:t xml:space="preserve">Original-rubric grade, if available: </w:t>
            </w:r>
            <w:sdt>
              <w:sdtPr>
                <w:id w:val="1209"/>
                <w:tag w:val="case_2_referencegrade"/>
                <w:alias w:val="case_2_referencegrade"/>
                <w:text w:multiLine="1"/>
              </w:sdtPr>
              <w:sdtContent>
                <w:r>
                  <w:rPr>
                    <w:sz w:val="21"/>
                    <w:rFonts w:eastAsia="Arial" w:ascii="Arial" w:hAnsi="Arial" w:cs="Arial"/>
                    <w:szCs w:val="21"/>
                  </w:rPr>
                  <w:t xml:space="preserve">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p>
      <w:pPr>
        <w:spacing w:after="80" w:line="246" w:lineRule="auto"/>
      </w:pPr>
      <w:r>
        <w:rPr>
          <w:rFonts w:ascii="Arial" w:hAnsi="Arial" w:eastAsia="Arial" w:cs="Arial"/>
          <w:sz w:val="21"/>
          <w:szCs w:val="21"/>
        </w:rPr>
      </w:r>
      <w:hyperlink r:id="rId15">
        <w:r>
          <w:rPr>
            <w:color w:val="184E7B"/>
            <w:u w:val="single"/>
            <w:sz w:val="20"/>
            <w:rFonts w:ascii="Arial" w:hAnsi="Arial" w:eastAsia="Arial" w:cs="Arial"/>
            <w:szCs w:val="20"/>
          </w:rPr>
          <w:t>Faculty's original diuretics rubric</w:t>
        </w:r>
      </w:hyperlink>
      <w:r>
        <w:rPr>
          <w:rFonts w:ascii="Arial" w:hAnsi="Arial" w:eastAsia="Arial" w:cs="Arial"/>
          <w:sz w:val="21"/>
          <w:szCs w:val="21"/>
        </w:rPr>
        <w:t xml:space="preserve">　</w:t>
      </w:r>
      <w:hyperlink r:id="rId17">
        <w:r>
          <w:rPr>
            <w:color w:val="184E7B"/>
            <w:u w:val="single"/>
            <w:sz w:val="20"/>
            <w:rFonts w:ascii="Arial" w:hAnsi="Arial" w:eastAsia="Arial" w:cs="Arial"/>
            <w:szCs w:val="20"/>
          </w:rPr>
          <w:t>YT's comments, pages 13–15</w:t>
        </w:r>
      </w:hyperlink>
    </w:p>
    <w:p>
      <w:pPr>
        <w:pStyle w:val="Heading1"/>
        <w:pageBreakBefore w:val="1"/>
        <w:spacing w:line="246" w:lineRule="auto" w:after="80"/>
      </w:pPr>
      <w:r>
        <w:rPr>
          <w:rFonts w:ascii="Arial" w:hAnsi="Arial" w:eastAsia="Arial" w:cs="Arial"/>
          <w:sz w:val="26"/>
          <w:szCs w:val="26"/>
        </w:rPr>
        <w:t>Appendix B4. Faculty Assessment: MTX</w:t>
      </w:r>
    </w:p>
    <w:p>
      <w:pPr>
        <w:spacing w:line="246" w:lineRule="auto" w:after="80"/>
      </w:pPr>
      <w:r>
        <w:rPr>
          <w:rFonts w:ascii="Arial" w:hAnsi="Arial" w:eastAsia="Arial" w:cs="Arial"/>
          <w:sz w:val="21"/>
          <w:szCs w:val="21"/>
        </w:rPr>
        <w:t>Complete independently before viewing the AI decision. For each item, select the completion status and enter the consequence, quote and reason. Select the error status (no error/unresolved/corrected) and whether review is required. For 'Not applicable', explain the untriggered condition; other inapplicable fields may be left blank. If speech is unclear, record the missing evidence rather than selecting 'No error'. Use the dropdowns in Word or write the responses on a printed copy.</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2"/>
        <w:gridCol w:w="2312"/>
        <w:gridCol w:w="2368"/>
        <w:gridCol w:w="2368"/>
      </w:tblGrid>
      <w:tr>
        <w:trPr>
          <w:cantSplit/>
          <w:tblHeader/>
        </w:trPr>
        <w:tc>
          <w:tcPr>
            <w:tcW w:type="dxa" w:w="2312"/>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Record ID</w:t>
            </w:r>
          </w:p>
        </w:tc>
        <w:tc>
          <w:tcPr>
            <w:tcW w:type="dxa" w:w="2312"/>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Station</w:t>
            </w:r>
          </w:p>
        </w:tc>
        <w:tc>
          <w:tcPr>
            <w:tcW w:type="dxa" w:w="236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Faculty or student ID</w:t>
            </w:r>
          </w:p>
        </w:tc>
        <w:tc>
          <w:tcPr>
            <w:tcW w:type="dxa" w:w="236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Date</w:t>
            </w:r>
          </w:p>
        </w:tc>
      </w:tr>
      <w:tr>
        <w:trPr>
          <w:cantSplit/>
        </w:trPr>
        <w:tc>
          <w:tcPr>
            <w:tcW w:type="dxa" w:w="231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210"/>
                <w:tag w:val="case_3_meta_0"/>
                <w:alias w:val="case_3_meta_0"/>
                <w:text w:multiLine="1"/>
              </w:sdtPr>
              <w:sdtContent>
                <w:r>
                  <w:rPr>
                    <w:sz w:val="21"/>
                    <w:rFonts w:eastAsia="Arial" w:ascii="Arial" w:hAnsi="Arial" w:cs="Arial"/>
                    <w:szCs w:val="21"/>
                  </w:rPr>
                  <w:t xml:space="preserve">____________</w:t>
                </w:r>
              </w:sdtContent>
            </w:sdt>
          </w:p>
        </w:tc>
        <w:tc>
          <w:tcPr>
            <w:tcW w:type="dxa" w:w="231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r>
              <w:rPr>
                <w:sz w:val="21"/>
                <w:rFonts w:ascii="Arial" w:hAnsi="Arial" w:eastAsia="Arial" w:cs="Arial"/>
                <w:szCs w:val="21"/>
              </w:rPr>
              <w:t>MTX</w:t>
            </w:r>
          </w:p>
        </w:tc>
        <w:tc>
          <w:tcPr>
            <w:tcW w:type="dxa" w:w="236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211"/>
                <w:tag w:val="case_3_meta_2"/>
                <w:alias w:val="case_3_meta_2"/>
                <w:text w:multiLine="1"/>
              </w:sdtPr>
              <w:sdtContent>
                <w:r>
                  <w:rPr>
                    <w:sz w:val="21"/>
                    <w:rFonts w:eastAsia="Arial" w:ascii="Arial" w:hAnsi="Arial" w:cs="Arial"/>
                    <w:szCs w:val="21"/>
                  </w:rPr>
                  <w:t xml:space="preserve">____________</w:t>
                </w:r>
              </w:sdtContent>
            </w:sdt>
          </w:p>
        </w:tc>
        <w:tc>
          <w:tcPr>
            <w:tcW w:type="dxa" w:w="236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212"/>
                <w:tag w:val="case_3_meta_3"/>
                <w:alias w:val="case_3_meta_3"/>
                <w:text w:multiLine="1"/>
              </w:sdtPr>
              <w:sdtContent>
                <w:r>
                  <w:rPr>
                    <w:sz w:val="21"/>
                    <w:rFonts w:eastAsia="Arial" w:ascii="Arial" w:hAnsi="Arial" w:cs="Arial"/>
                    <w:szCs w:val="21"/>
                  </w:rPr>
                  <w:t xml:space="preserve">____________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99"/>
        <w:gridCol w:w="2477"/>
        <w:gridCol w:w="3083"/>
      </w:tblGrid>
      <w:tr>
        <w:trPr>
          <w:cantSplit/>
          <w:tblHeader/>
        </w:trPr>
        <w:tc>
          <w:tcPr>
            <w:tcW w:type="dxa" w:w="3799"/>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Core requirement and original rule</w:t>
            </w:r>
          </w:p>
        </w:tc>
        <w:tc>
          <w:tcPr>
            <w:tcW w:type="dxa" w:w="2477"/>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Faculty judgement and consequence</w:t>
            </w:r>
          </w:p>
        </w:tc>
        <w:tc>
          <w:tcPr>
            <w:tcW w:type="dxa" w:w="3083"/>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Dialogue evidence and reason</w:t>
            </w:r>
          </w:p>
        </w:tc>
      </w:tr>
      <w:tr>
        <w:trPr>
          <w:cantSplit/>
        </w:trPr>
        <w:tc>
          <w:tcPr>
            <w:tcW w:type="dxa" w:w="3799"/>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1 Weekly frequency</w:t>
              <w:br/>
              <w:t>Explicitly states that methotrexate is taken once weekly. If 'daily' is later corrected to 'weekly', retain the original error and record the correction.</w:t>
              <w:br/>
              <w:t>Original rule: failure to emphasise once-weekly dosing, automatic FAIL under the original rubric. The final grade after a self-correction follows the faculty-confirmed policy.</w:t>
            </w:r>
          </w:p>
        </w:tc>
        <w:tc>
          <w:tcPr>
            <w:tcW w:type="dxa" w:w="2477"/>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213"/>
                <w:tag w:val="case_3_item_1_status_0"/>
                <w:alias w:val="case_3_item_1_status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Meets  </w:t>
            </w:r>
            <w:r>
              <w:br/>
            </w:r>
            <w:sdt>
              <w:sdtPr>
                <w:id w:val="1214"/>
                <w:tag w:val="case_3_item_1_status_1"/>
                <w:alias w:val="case_3_item_1_status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Partly meets  </w:t>
            </w:r>
          </w:p>
          <w:p>
            <w:pPr>
              <w:spacing w:after="30" w:line="246" w:lineRule="auto"/>
            </w:pPr>
            <w:sdt>
              <w:sdtPr>
                <w:id w:val="1215"/>
                <w:tag w:val="case_3_item_1_status_2"/>
                <w:alias w:val="case_3_item_1_status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Does not meet  </w:t>
            </w:r>
            <w:r>
              <w:br/>
            </w:r>
            <w:sdt>
              <w:sdtPr>
                <w:id w:val="1216"/>
                <w:tag w:val="case_3_item_1_status_3"/>
                <w:alias w:val="case_3_item_1_status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p>
          <w:p>
            <w:pPr>
              <w:spacing w:after="30" w:line="246" w:lineRule="auto"/>
            </w:pPr>
            <w:sdt>
              <w:sdtPr>
                <w:id w:val="1217"/>
                <w:tag w:val="case_3_item_1_status_4"/>
                <w:alias w:val="case_3_item_1_status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p>
            <w:pPr>
              <w:spacing w:after="30" w:line="246" w:lineRule="auto"/>
            </w:pPr>
            <w:r>
              <w:rPr>
                <w:sz w:val="21"/>
                <w:rFonts w:ascii="Arial" w:hAnsi="Arial" w:eastAsia="Arial" w:cs="Arial"/>
                <w:szCs w:val="21"/>
              </w:rPr>
              <w:t xml:space="preserve">Consequence: </w:t>
            </w:r>
            <w:sdt>
              <w:sdtPr>
                <w:id w:val="1218"/>
                <w:tag w:val="case_3_item_1_consequence"/>
                <w:alias w:val="case_3_item_1_consequence"/>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Error: </w:t>
            </w:r>
            <w:sdt>
              <w:sdtPr>
                <w:id w:val="1219"/>
                <w:tag w:val="case_3_item_1_history"/>
                <w:alias w:val="case_3_item_1_history"/>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Content>
                <w:r>
                  <w:rPr>
                    <w:rFonts w:ascii="Arial" w:hAnsi="Arial" w:eastAsia="Arial" w:cs="Arial"/>
                    <w:sz w:val="21"/>
                    <w:szCs w:val="21"/>
                  </w:rPr>
                  <w:t>Select</w:t>
                </w:r>
              </w:sdtContent>
            </w:sdt>
          </w:p>
          <w:p>
            <w:pPr>
              <w:spacing w:after="30" w:line="246" w:lineRule="auto"/>
            </w:pPr>
            <w:r>
              <w:rPr>
                <w:sz w:val="21"/>
                <w:rFonts w:ascii="Arial" w:hAnsi="Arial" w:eastAsia="Arial" w:cs="Arial"/>
                <w:szCs w:val="21"/>
              </w:rPr>
              <w:t xml:space="preserve">Review: </w:t>
            </w:r>
            <w:sdt>
              <w:sdtPr>
                <w:id w:val="1220"/>
                <w:tag w:val="case_3_item_1_review"/>
                <w:alias w:val="case_3_item_1_review"/>
                <w:dropDownList>
                  <w:listItem w:displayText="Select" w:value="Select"/>
                  <w:listItem w:displayText="Not required" w:value="Not required"/>
                  <w:listItem w:displayText="Required" w:value="Required"/>
                </w:dropDownList>
              </w:sdtPr>
              <w:sdtContent>
                <w:r>
                  <w:rPr>
                    <w:rFonts w:ascii="Arial" w:hAnsi="Arial" w:eastAsia="Arial" w:cs="Arial"/>
                    <w:sz w:val="21"/>
                    <w:szCs w:val="21"/>
                  </w:rPr>
                  <w:t>Select</w:t>
                </w:r>
              </w:sdtContent>
            </w:sdt>
          </w:p>
        </w:tc>
        <w:tc>
          <w:tcPr>
            <w:tcW w:type="dxa" w:w="308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221"/>
                <w:tag w:val="case_3_item_1_quote"/>
                <w:alias w:val="case_3_item_1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Reason: </w:t>
            </w:r>
            <w:sdt>
              <w:sdtPr>
                <w:id w:val="1222"/>
                <w:tag w:val="case_3_item_1_reason"/>
                <w:alias w:val="case_3_item_1_reason"/>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Omission/correction: </w:t>
            </w:r>
            <w:sdt>
              <w:sdtPr>
                <w:id w:val="1223"/>
                <w:tag w:val="case_3_item_1_missing"/>
                <w:alias w:val="case_3_item_1_missing"/>
                <w:text w:multiLine="1"/>
              </w:sdtPr>
              <w:sdtContent>
                <w:r>
                  <w:rPr>
                    <w:sz w:val="21"/>
                    <w:rFonts w:eastAsia="Arial" w:ascii="Arial" w:hAnsi="Arial" w:cs="Arial"/>
                    <w:szCs w:val="21"/>
                  </w:rPr>
                  <w:t xml:space="preserve">___________</w:t>
                </w:r>
              </w:sdtContent>
            </w:sdt>
          </w:p>
        </w:tc>
      </w:tr>
      <w:tr>
        <w:trPr>
          <w:cantSplit/>
        </w:trPr>
        <w:tc>
          <w:tcPr>
            <w:tcW w:type="dxa" w:w="3799"/>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2 Missed-dose advice</w:t>
              <w:br/>
              <w:t>For YT's Monday-dose example: if remembered Tuesday–Thursday, take the missed dose and resume Monday; if remembered Friday–Sunday, either take it and change the weekly dosing day or wait until the next scheduled dose. The boundaries of these windows require final faculty approval.</w:t>
              <w:br/>
              <w:t>Original rule: incomplete explanation of the missed-dose windows, half-grade reduction. Record double-dose advice separately under Item 4.</w:t>
            </w:r>
          </w:p>
        </w:tc>
        <w:tc>
          <w:tcPr>
            <w:tcW w:type="dxa" w:w="2477"/>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sdt>
              <w:sdtPr>
                <w:id w:val="1224"/>
                <w:tag w:val="case_3_item_2_status_0"/>
                <w:alias w:val="case_3_item_2_status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Meets  </w:t>
            </w:r>
            <w:r>
              <w:br/>
            </w:r>
            <w:sdt>
              <w:sdtPr>
                <w:id w:val="1225"/>
                <w:tag w:val="case_3_item_2_status_1"/>
                <w:alias w:val="case_3_item_2_status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Partly meets  </w:t>
            </w:r>
          </w:p>
          <w:p>
            <w:pPr>
              <w:spacing w:after="30" w:line="246" w:lineRule="auto"/>
            </w:pPr>
            <w:sdt>
              <w:sdtPr>
                <w:id w:val="1226"/>
                <w:tag w:val="case_3_item_2_status_2"/>
                <w:alias w:val="case_3_item_2_status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Does not meet  </w:t>
            </w:r>
            <w:r>
              <w:br/>
            </w:r>
            <w:sdt>
              <w:sdtPr>
                <w:id w:val="1227"/>
                <w:tag w:val="case_3_item_2_status_3"/>
                <w:alias w:val="case_3_item_2_status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p>
          <w:p>
            <w:pPr>
              <w:spacing w:after="30" w:line="246" w:lineRule="auto"/>
            </w:pPr>
            <w:sdt>
              <w:sdtPr>
                <w:id w:val="1228"/>
                <w:tag w:val="case_3_item_2_status_4"/>
                <w:alias w:val="case_3_item_2_status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p>
            <w:pPr>
              <w:spacing w:after="30" w:line="246" w:lineRule="auto"/>
            </w:pPr>
            <w:r>
              <w:rPr>
                <w:sz w:val="21"/>
                <w:rFonts w:ascii="Arial" w:hAnsi="Arial" w:eastAsia="Arial" w:cs="Arial"/>
                <w:szCs w:val="21"/>
              </w:rPr>
              <w:t xml:space="preserve">Consequence: </w:t>
            </w:r>
            <w:sdt>
              <w:sdtPr>
                <w:id w:val="1229"/>
                <w:tag w:val="case_3_item_2_consequence"/>
                <w:alias w:val="case_3_item_2_consequence"/>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Error: </w:t>
            </w:r>
            <w:sdt>
              <w:sdtPr>
                <w:id w:val="1230"/>
                <w:tag w:val="case_3_item_2_history"/>
                <w:alias w:val="case_3_item_2_history"/>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Content>
                <w:r>
                  <w:rPr>
                    <w:rFonts w:ascii="Arial" w:hAnsi="Arial" w:eastAsia="Arial" w:cs="Arial"/>
                    <w:sz w:val="21"/>
                    <w:szCs w:val="21"/>
                  </w:rPr>
                  <w:t>Select</w:t>
                </w:r>
              </w:sdtContent>
            </w:sdt>
          </w:p>
          <w:p>
            <w:pPr>
              <w:spacing w:after="30" w:line="246" w:lineRule="auto"/>
            </w:pPr>
            <w:r>
              <w:rPr>
                <w:sz w:val="21"/>
                <w:rFonts w:ascii="Arial" w:hAnsi="Arial" w:eastAsia="Arial" w:cs="Arial"/>
                <w:szCs w:val="21"/>
              </w:rPr>
              <w:t xml:space="preserve">Review: </w:t>
            </w:r>
            <w:sdt>
              <w:sdtPr>
                <w:id w:val="1231"/>
                <w:tag w:val="case_3_item_2_review"/>
                <w:alias w:val="case_3_item_2_review"/>
                <w:dropDownList>
                  <w:listItem w:displayText="Select" w:value="Select"/>
                  <w:listItem w:displayText="Not required" w:value="Not required"/>
                  <w:listItem w:displayText="Required" w:value="Required"/>
                </w:dropDownList>
              </w:sdtPr>
              <w:sdtContent>
                <w:r>
                  <w:rPr>
                    <w:rFonts w:ascii="Arial" w:hAnsi="Arial" w:eastAsia="Arial" w:cs="Arial"/>
                    <w:sz w:val="21"/>
                    <w:szCs w:val="21"/>
                  </w:rPr>
                  <w:t>Select</w:t>
                </w:r>
              </w:sdtContent>
            </w:sdt>
          </w:p>
        </w:tc>
        <w:tc>
          <w:tcPr>
            <w:tcW w:type="dxa" w:w="308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232"/>
                <w:tag w:val="case_3_item_2_quote"/>
                <w:alias w:val="case_3_item_2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Reason: </w:t>
            </w:r>
            <w:sdt>
              <w:sdtPr>
                <w:id w:val="1233"/>
                <w:tag w:val="case_3_item_2_reason"/>
                <w:alias w:val="case_3_item_2_reason"/>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Omission/correction: </w:t>
            </w:r>
            <w:sdt>
              <w:sdtPr>
                <w:id w:val="1234"/>
                <w:tag w:val="case_3_item_2_missing"/>
                <w:alias w:val="case_3_item_2_missing"/>
                <w:text w:multiLine="1"/>
              </w:sdtPr>
              <w:sdtContent>
                <w:r>
                  <w:rPr>
                    <w:sz w:val="21"/>
                    <w:rFonts w:eastAsia="Arial" w:ascii="Arial" w:hAnsi="Arial" w:cs="Arial"/>
                    <w:szCs w:val="21"/>
                  </w:rPr>
                  <w:t xml:space="preserve">___________</w:t>
                </w:r>
              </w:sdtContent>
            </w:sdt>
          </w:p>
        </w:tc>
      </w:tr>
      <w:tr>
        <w:trPr>
          <w:cantSplit/>
        </w:trPr>
        <w:tc>
          <w:tcPr>
            <w:tcW w:type="dxa" w:w="3799"/>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3 Folic acid regimen</w:t>
              <w:br/>
              <w:t>Explains that folic acid reduces MTX toxicity and is taken once weekly on a different day from MTX. Distinguishes omission from an actual recommendation to take both on the same day.</w:t>
              <w:br/>
              <w:t>Original rule: actual same-day advice, one-grade reduction. Omission alone is not automatically equivalent to same-day advice; apply faculty policy.</w:t>
            </w:r>
          </w:p>
        </w:tc>
        <w:tc>
          <w:tcPr>
            <w:tcW w:type="dxa" w:w="2477"/>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235"/>
                <w:tag w:val="case_3_item_3_status_0"/>
                <w:alias w:val="case_3_item_3_status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Meets  </w:t>
            </w:r>
            <w:r>
              <w:br/>
            </w:r>
            <w:sdt>
              <w:sdtPr>
                <w:id w:val="1236"/>
                <w:tag w:val="case_3_item_3_status_1"/>
                <w:alias w:val="case_3_item_3_status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Partly meets  </w:t>
            </w:r>
          </w:p>
          <w:p>
            <w:pPr>
              <w:spacing w:after="30" w:line="246" w:lineRule="auto"/>
            </w:pPr>
            <w:sdt>
              <w:sdtPr>
                <w:id w:val="1237"/>
                <w:tag w:val="case_3_item_3_status_2"/>
                <w:alias w:val="case_3_item_3_status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Does not meet  </w:t>
            </w:r>
            <w:r>
              <w:br/>
            </w:r>
            <w:sdt>
              <w:sdtPr>
                <w:id w:val="1238"/>
                <w:tag w:val="case_3_item_3_status_3"/>
                <w:alias w:val="case_3_item_3_status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p>
          <w:p>
            <w:pPr>
              <w:spacing w:after="30" w:line="246" w:lineRule="auto"/>
            </w:pPr>
            <w:sdt>
              <w:sdtPr>
                <w:id w:val="1239"/>
                <w:tag w:val="case_3_item_3_status_4"/>
                <w:alias w:val="case_3_item_3_status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p>
            <w:pPr>
              <w:spacing w:after="30" w:line="246" w:lineRule="auto"/>
            </w:pPr>
            <w:r>
              <w:rPr>
                <w:sz w:val="21"/>
                <w:rFonts w:ascii="Arial" w:hAnsi="Arial" w:eastAsia="Arial" w:cs="Arial"/>
                <w:szCs w:val="21"/>
              </w:rPr>
              <w:t xml:space="preserve">Consequence: </w:t>
            </w:r>
            <w:sdt>
              <w:sdtPr>
                <w:id w:val="1240"/>
                <w:tag w:val="case_3_item_3_consequence"/>
                <w:alias w:val="case_3_item_3_consequence"/>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Error: </w:t>
            </w:r>
            <w:sdt>
              <w:sdtPr>
                <w:id w:val="1241"/>
                <w:tag w:val="case_3_item_3_history"/>
                <w:alias w:val="case_3_item_3_history"/>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Content>
                <w:r>
                  <w:rPr>
                    <w:rFonts w:ascii="Arial" w:hAnsi="Arial" w:eastAsia="Arial" w:cs="Arial"/>
                    <w:sz w:val="21"/>
                    <w:szCs w:val="21"/>
                  </w:rPr>
                  <w:t>Select</w:t>
                </w:r>
              </w:sdtContent>
            </w:sdt>
          </w:p>
          <w:p>
            <w:pPr>
              <w:spacing w:after="30" w:line="246" w:lineRule="auto"/>
            </w:pPr>
            <w:r>
              <w:rPr>
                <w:sz w:val="21"/>
                <w:rFonts w:ascii="Arial" w:hAnsi="Arial" w:eastAsia="Arial" w:cs="Arial"/>
                <w:szCs w:val="21"/>
              </w:rPr>
              <w:t xml:space="preserve">Review: </w:t>
            </w:r>
            <w:sdt>
              <w:sdtPr>
                <w:id w:val="1242"/>
                <w:tag w:val="case_3_item_3_review"/>
                <w:alias w:val="case_3_item_3_review"/>
                <w:dropDownList>
                  <w:listItem w:displayText="Select" w:value="Select"/>
                  <w:listItem w:displayText="Not required" w:value="Not required"/>
                  <w:listItem w:displayText="Required" w:value="Required"/>
                </w:dropDownList>
              </w:sdtPr>
              <w:sdtContent>
                <w:r>
                  <w:rPr>
                    <w:rFonts w:ascii="Arial" w:hAnsi="Arial" w:eastAsia="Arial" w:cs="Arial"/>
                    <w:sz w:val="21"/>
                    <w:szCs w:val="21"/>
                  </w:rPr>
                  <w:t>Select</w:t>
                </w:r>
              </w:sdtContent>
            </w:sdt>
          </w:p>
        </w:tc>
        <w:tc>
          <w:tcPr>
            <w:tcW w:type="dxa" w:w="3083"/>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243"/>
                <w:tag w:val="case_3_item_3_quote"/>
                <w:alias w:val="case_3_item_3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Reason: </w:t>
            </w:r>
            <w:sdt>
              <w:sdtPr>
                <w:id w:val="1244"/>
                <w:tag w:val="case_3_item_3_reason"/>
                <w:alias w:val="case_3_item_3_reason"/>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Omission/correction: </w:t>
            </w:r>
            <w:sdt>
              <w:sdtPr>
                <w:id w:val="1245"/>
                <w:tag w:val="case_3_item_3_missing"/>
                <w:alias w:val="case_3_item_3_missing"/>
                <w:text w:multiLine="1"/>
              </w:sdtPr>
              <w:sdtContent>
                <w:r>
                  <w:rPr>
                    <w:sz w:val="21"/>
                    <w:rFonts w:eastAsia="Arial" w:ascii="Arial" w:hAnsi="Arial" w:cs="Arial"/>
                    <w:szCs w:val="21"/>
                  </w:rPr>
                  <w:t xml:space="preserve">___________</w:t>
                </w:r>
              </w:sdtContent>
            </w:sdt>
          </w:p>
        </w:tc>
      </w:tr>
      <w:tr>
        <w:trPr>
          <w:cantSplit/>
        </w:trPr>
        <w:tc>
          <w:tcPr>
            <w:tcW w:type="dxa" w:w="3799"/>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4 No double-dose advice</w:t>
              <w:br/>
              <w:t>Does not advise taking a double MTX dose to make up a missed dose. Not spontaneously saying 'do not double the dose' is not itself double-dose advice.</w:t>
              <w:br/>
              <w:t>Original rule: actual double-dose advice, automatic FAIL under the original rubric. If subsequently corrected, retain the history and review it under faculty policy.</w:t>
            </w:r>
          </w:p>
        </w:tc>
        <w:tc>
          <w:tcPr>
            <w:tcW w:type="dxa" w:w="2477"/>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sdt>
              <w:sdtPr>
                <w:id w:val="1246"/>
                <w:tag w:val="case_3_item_4_status_0"/>
                <w:alias w:val="case_3_item_4_status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Meets  </w:t>
            </w:r>
            <w:r>
              <w:br/>
            </w:r>
            <w:sdt>
              <w:sdtPr>
                <w:id w:val="1247"/>
                <w:tag w:val="case_3_item_4_status_1"/>
                <w:alias w:val="case_3_item_4_status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Partly meets  </w:t>
            </w:r>
          </w:p>
          <w:p>
            <w:pPr>
              <w:spacing w:after="30" w:line="246" w:lineRule="auto"/>
            </w:pPr>
            <w:sdt>
              <w:sdtPr>
                <w:id w:val="1248"/>
                <w:tag w:val="case_3_item_4_status_2"/>
                <w:alias w:val="case_3_item_4_status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Does not meet  </w:t>
            </w:r>
            <w:r>
              <w:br/>
            </w:r>
            <w:sdt>
              <w:sdtPr>
                <w:id w:val="1249"/>
                <w:tag w:val="case_3_item_4_status_3"/>
                <w:alias w:val="case_3_item_4_status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applicable  </w:t>
            </w:r>
          </w:p>
          <w:p>
            <w:pPr>
              <w:spacing w:after="30" w:line="246" w:lineRule="auto"/>
            </w:pPr>
            <w:sdt>
              <w:sdtPr>
                <w:id w:val="1250"/>
                <w:tag w:val="case_3_item_4_status_4"/>
                <w:alias w:val="case_3_item_4_status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Cannot determine  </w:t>
            </w:r>
          </w:p>
          <w:p>
            <w:pPr>
              <w:spacing w:after="30" w:line="246" w:lineRule="auto"/>
            </w:pPr>
            <w:r>
              <w:rPr>
                <w:sz w:val="21"/>
                <w:rFonts w:ascii="Arial" w:hAnsi="Arial" w:eastAsia="Arial" w:cs="Arial"/>
                <w:szCs w:val="21"/>
              </w:rPr>
              <w:t xml:space="preserve">Consequence: </w:t>
            </w:r>
            <w:sdt>
              <w:sdtPr>
                <w:id w:val="1251"/>
                <w:tag w:val="case_3_item_4_consequence"/>
                <w:alias w:val="case_3_item_4_consequence"/>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Error: </w:t>
            </w:r>
            <w:sdt>
              <w:sdtPr>
                <w:id w:val="1252"/>
                <w:tag w:val="case_3_item_4_history"/>
                <w:alias w:val="case_3_item_4_history"/>
                <w:dropDownList>
                  <w:listItem w:displayText="Select" w:value="Select"/>
                  <w:listItem w:displayText="No error" w:value="No error"/>
                  <w:listItem w:displayText="Unresolved" w:value="Unresolved"/>
                  <w:listItem w:displayText="Corrected; history retained" w:value="Corrected; history retained"/>
                  <w:listItem w:displayText="Cannot determine" w:value="Cannot determine"/>
                </w:dropDownList>
              </w:sdtPr>
              <w:sdtContent>
                <w:r>
                  <w:rPr>
                    <w:rFonts w:ascii="Arial" w:hAnsi="Arial" w:eastAsia="Arial" w:cs="Arial"/>
                    <w:sz w:val="21"/>
                    <w:szCs w:val="21"/>
                  </w:rPr>
                  <w:t>Select</w:t>
                </w:r>
              </w:sdtContent>
            </w:sdt>
          </w:p>
          <w:p>
            <w:pPr>
              <w:spacing w:after="30" w:line="246" w:lineRule="auto"/>
            </w:pPr>
            <w:r>
              <w:rPr>
                <w:sz w:val="21"/>
                <w:rFonts w:ascii="Arial" w:hAnsi="Arial" w:eastAsia="Arial" w:cs="Arial"/>
                <w:szCs w:val="21"/>
              </w:rPr>
              <w:t xml:space="preserve">Review: </w:t>
            </w:r>
            <w:sdt>
              <w:sdtPr>
                <w:id w:val="1253"/>
                <w:tag w:val="case_3_item_4_review"/>
                <w:alias w:val="case_3_item_4_review"/>
                <w:dropDownList>
                  <w:listItem w:displayText="Select" w:value="Select"/>
                  <w:listItem w:displayText="Not required" w:value="Not required"/>
                  <w:listItem w:displayText="Required" w:value="Required"/>
                </w:dropDownList>
              </w:sdtPr>
              <w:sdtContent>
                <w:r>
                  <w:rPr>
                    <w:rFonts w:ascii="Arial" w:hAnsi="Arial" w:eastAsia="Arial" w:cs="Arial"/>
                    <w:sz w:val="21"/>
                    <w:szCs w:val="21"/>
                  </w:rPr>
                  <w:t>Select</w:t>
                </w:r>
              </w:sdtContent>
            </w:sdt>
          </w:p>
        </w:tc>
        <w:tc>
          <w:tcPr>
            <w:tcW w:type="dxa" w:w="3083"/>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r>
              <w:rPr>
                <w:sz w:val="21"/>
                <w:rFonts w:ascii="Arial" w:hAnsi="Arial" w:eastAsia="Arial" w:cs="Arial"/>
                <w:szCs w:val="21"/>
              </w:rPr>
              <w:t xml:space="preserve">Quote/time: </w:t>
            </w:r>
            <w:sdt>
              <w:sdtPr>
                <w:id w:val="1254"/>
                <w:tag w:val="case_3_item_4_quote"/>
                <w:alias w:val="case_3_item_4_quote"/>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Reason: </w:t>
            </w:r>
            <w:sdt>
              <w:sdtPr>
                <w:id w:val="1255"/>
                <w:tag w:val="case_3_item_4_reason"/>
                <w:alias w:val="case_3_item_4_reason"/>
                <w:text w:multiLine="1"/>
              </w:sdtPr>
              <w:sdtContent>
                <w:r>
                  <w:rPr>
                    <w:sz w:val="21"/>
                    <w:rFonts w:eastAsia="Arial" w:ascii="Arial" w:hAnsi="Arial" w:cs="Arial"/>
                    <w:szCs w:val="21"/>
                  </w:rPr>
                  <w:t xml:space="preserve">___________</w:t>
                </w:r>
              </w:sdtContent>
            </w:sdt>
          </w:p>
          <w:p>
            <w:pPr>
              <w:spacing w:after="30" w:line="246" w:lineRule="auto"/>
            </w:pPr>
            <w:r>
              <w:rPr>
                <w:sz w:val="21"/>
                <w:rFonts w:ascii="Arial" w:hAnsi="Arial" w:eastAsia="Arial" w:cs="Arial"/>
                <w:szCs w:val="21"/>
              </w:rPr>
              <w:t xml:space="preserve">Omission/correction: </w:t>
            </w:r>
            <w:sdt>
              <w:sdtPr>
                <w:id w:val="1256"/>
                <w:tag w:val="case_3_item_4_missing"/>
                <w:alias w:val="case_3_item_4_missing"/>
                <w:text w:multiLine="1"/>
              </w:sdtPr>
              <w:sdtContent>
                <w:r>
                  <w:rPr>
                    <w:sz w:val="21"/>
                    <w:rFonts w:eastAsia="Arial" w:ascii="Arial" w:hAnsi="Arial" w:cs="Arial"/>
                    <w:szCs w:val="21"/>
                  </w:rPr>
                  <w:t xml:space="preserve">___________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p>
      <w:pPr>
        <w:spacing w:line="246" w:lineRule="auto" w:after="80"/>
      </w:pPr>
      <w:r>
        <w:rPr>
          <w:sz w:val="21"/>
          <w:rFonts w:ascii="Arial" w:hAnsi="Arial" w:eastAsia="Arial" w:cs="Arial"/>
          <w:szCs w:val="21"/>
        </w:rPr>
        <w:t>The original rubric also covers identity, allergies, monitoring, red-flag symptoms, teach-back and other items. These four items are used only for the prespecified comparison of core decisions.</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16"/>
        <w:gridCol w:w="3744"/>
      </w:tblGrid>
      <w:tr>
        <w:trPr>
          <w:cantSplit/>
          <w:tblHeader/>
        </w:trPr>
        <w:tc>
          <w:tcPr>
            <w:tcW w:type="dxa" w:w="5616"/>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Key station-level consequences and reasons</w:t>
            </w:r>
          </w:p>
        </w:tc>
        <w:tc>
          <w:tcPr>
            <w:tcW w:type="dxa" w:w="3744"/>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Selected core items; not a full-rubric total</w:t>
            </w:r>
          </w:p>
        </w:tc>
      </w:tr>
      <w:tr>
        <w:trPr>
          <w:cantSplit/>
        </w:trPr>
        <w:tc>
          <w:tcPr>
            <w:tcW w:type="dxa" w:w="5616"/>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257"/>
                <w:tag w:val="case_3_global_0"/>
                <w:alias w:val="case_3_global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None  </w:t>
            </w:r>
            <w:sdt>
              <w:sdtPr>
                <w:id w:val="1258"/>
                <w:tag w:val="case_3_global_1"/>
                <w:alias w:val="case_3_global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Grade cap  </w:t>
            </w:r>
            <w:sdt>
              <w:sdtPr>
                <w:id w:val="1259"/>
                <w:tag w:val="case_3_global_2"/>
                <w:alias w:val="case_3_global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Grade reduction  </w:t>
            </w:r>
          </w:p>
          <w:p>
            <w:pPr>
              <w:spacing w:after="30" w:line="246" w:lineRule="auto"/>
            </w:pPr>
            <w:sdt>
              <w:sdtPr>
                <w:id w:val="1260"/>
                <w:tag w:val="case_3_global_3"/>
                <w:alias w:val="case_3_global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Automatic FAIL  </w:t>
            </w:r>
            <w:sdt>
              <w:sdtPr>
                <w:id w:val="1261"/>
                <w:tag w:val="case_3_global_4"/>
                <w:alias w:val="case_3_global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Review required  </w:t>
            </w:r>
          </w:p>
          <w:p>
            <w:pPr>
              <w:spacing w:after="30" w:line="246" w:lineRule="auto"/>
            </w:pPr>
            <w:r>
              <w:rPr>
                <w:sz w:val="21"/>
                <w:rFonts w:ascii="Arial" w:hAnsi="Arial" w:eastAsia="Arial" w:cs="Arial"/>
                <w:szCs w:val="21"/>
              </w:rPr>
              <w:t xml:space="preserve">Value and reason: </w:t>
            </w:r>
            <w:sdt>
              <w:sdtPr>
                <w:id w:val="1262"/>
                <w:tag w:val="case_3_globaldetail"/>
                <w:alias w:val="case_3_globaldetail"/>
                <w:text w:multiLine="1"/>
              </w:sdtPr>
              <w:sdtContent>
                <w:r>
                  <w:rPr>
                    <w:sz w:val="21"/>
                    <w:rFonts w:eastAsia="Arial" w:ascii="Arial" w:hAnsi="Arial" w:cs="Arial"/>
                    <w:szCs w:val="21"/>
                  </w:rPr>
                  <w:t xml:space="preserve">__________________</w:t>
                </w:r>
              </w:sdtContent>
            </w:sdt>
          </w:p>
        </w:tc>
        <w:tc>
          <w:tcPr>
            <w:tcW w:type="dxa" w:w="374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263"/>
                <w:tag w:val="case_3_full_0"/>
                <w:alias w:val="case_3_full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Full faculty rubric also completed  </w:t>
            </w:r>
          </w:p>
          <w:p>
            <w:pPr>
              <w:spacing w:after="30" w:line="246" w:lineRule="auto"/>
            </w:pPr>
            <w:sdt>
              <w:sdtPr>
                <w:id w:val="1264"/>
                <w:tag w:val="case_3_full_1"/>
                <w:alias w:val="case_3_full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Core-item form only  </w:t>
            </w:r>
          </w:p>
          <w:p>
            <w:pPr>
              <w:spacing w:after="30" w:line="246" w:lineRule="auto"/>
            </w:pPr>
            <w:r>
              <w:rPr>
                <w:sz w:val="21"/>
                <w:rFonts w:ascii="Arial" w:hAnsi="Arial" w:eastAsia="Arial" w:cs="Arial"/>
                <w:szCs w:val="21"/>
              </w:rPr>
              <w:t xml:space="preserve">Original-rubric grade, if available: </w:t>
            </w:r>
            <w:sdt>
              <w:sdtPr>
                <w:id w:val="1265"/>
                <w:tag w:val="case_3_referencegrade"/>
                <w:alias w:val="case_3_referencegrade"/>
                <w:text w:multiLine="1"/>
              </w:sdtPr>
              <w:sdtContent>
                <w:r>
                  <w:rPr>
                    <w:sz w:val="21"/>
                    <w:rFonts w:eastAsia="Arial" w:ascii="Arial" w:hAnsi="Arial" w:cs="Arial"/>
                    <w:szCs w:val="21"/>
                  </w:rPr>
                  <w:t xml:space="preserve">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p>
      <w:pPr>
        <w:spacing w:after="80" w:line="246" w:lineRule="auto"/>
      </w:pPr>
      <w:r>
        <w:rPr>
          <w:rFonts w:ascii="Arial" w:hAnsi="Arial" w:eastAsia="Arial" w:cs="Arial"/>
          <w:sz w:val="21"/>
          <w:szCs w:val="21"/>
        </w:rPr>
      </w:r>
      <w:hyperlink r:id="rId16">
        <w:r>
          <w:rPr>
            <w:color w:val="184E7B"/>
            <w:u w:val="single"/>
            <w:sz w:val="20"/>
            <w:rFonts w:ascii="Arial" w:hAnsi="Arial" w:eastAsia="Arial" w:cs="Arial"/>
            <w:szCs w:val="20"/>
          </w:rPr>
          <w:t>Faculty's original MTX rubric</w:t>
        </w:r>
      </w:hyperlink>
      <w:r>
        <w:rPr>
          <w:rFonts w:ascii="Arial" w:hAnsi="Arial" w:eastAsia="Arial" w:cs="Arial"/>
          <w:sz w:val="21"/>
          <w:szCs w:val="21"/>
        </w:rPr>
        <w:t xml:space="preserve">　</w:t>
      </w:r>
      <w:hyperlink r:id="rId17">
        <w:r>
          <w:rPr>
            <w:color w:val="184E7B"/>
            <w:u w:val="single"/>
            <w:sz w:val="20"/>
            <w:rFonts w:ascii="Arial" w:hAnsi="Arial" w:eastAsia="Arial" w:cs="Arial"/>
            <w:szCs w:val="20"/>
          </w:rPr>
          <w:t>YT's comments, pages 13–15</w:t>
        </w:r>
      </w:hyperlink>
    </w:p>
    <w:p>
      <w:pPr>
        <w:pStyle w:val="Heading1"/>
        <w:pageBreakBefore w:val="1"/>
        <w:spacing w:line="246" w:lineRule="auto" w:after="80"/>
      </w:pPr>
      <w:r>
        <w:rPr>
          <w:rFonts w:ascii="Arial" w:hAnsi="Arial" w:eastAsia="Arial" w:cs="Arial"/>
          <w:sz w:val="26"/>
          <w:szCs w:val="26"/>
        </w:rPr>
        <w:t>Appendix C. Student Experience Questionnaire</w:t>
      </w:r>
    </w:p>
    <w:p>
      <w:pPr>
        <w:spacing w:line="246" w:lineRule="auto" w:after="80"/>
      </w:pPr>
      <w:r>
        <w:rPr>
          <w:rFonts w:ascii="Arial" w:hAnsi="Arial" w:eastAsia="Arial" w:cs="Arial"/>
          <w:sz w:val="21"/>
          <w:szCs w:val="21"/>
        </w:rPr>
        <w:t>Complete after both stations and before viewing feedback. The research team records the station order; students are not told the method names. For each statement, select one response for the first station and one for the second. Respond based on the experience; completion takes about two minutes.</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8"/>
        <w:gridCol w:w="3138"/>
        <w:gridCol w:w="3084"/>
      </w:tblGrid>
      <w:tr>
        <w:trPr>
          <w:cantSplit/>
          <w:tblHeader/>
        </w:trPr>
        <w:tc>
          <w:tcPr>
            <w:tcW w:type="dxa" w:w="313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Anonymous student ID</w:t>
            </w:r>
          </w:p>
        </w:tc>
        <w:tc>
          <w:tcPr>
            <w:tcW w:type="dxa" w:w="313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Session batch</w:t>
            </w:r>
          </w:p>
        </w:tc>
        <w:tc>
          <w:tcPr>
            <w:tcW w:type="dxa" w:w="3084"/>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Date</w:t>
            </w:r>
          </w:p>
        </w:tc>
      </w:tr>
      <w:tr>
        <w:trPr>
          <w:cantSplit/>
        </w:trPr>
        <w:tc>
          <w:tcPr>
            <w:tcW w:type="dxa" w:w="313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266"/>
                <w:tag w:val="student_meta_0"/>
                <w:alias w:val="student_meta_0"/>
                <w:text w:multiLine="1"/>
              </w:sdtPr>
              <w:sdtContent>
                <w:r>
                  <w:rPr>
                    <w:sz w:val="21"/>
                    <w:rFonts w:eastAsia="Arial" w:ascii="Arial" w:hAnsi="Arial" w:cs="Arial"/>
                    <w:szCs w:val="21"/>
                  </w:rPr>
                  <w:t xml:space="preserve">______________</w:t>
                </w:r>
              </w:sdtContent>
            </w:sdt>
          </w:p>
        </w:tc>
        <w:tc>
          <w:tcPr>
            <w:tcW w:type="dxa" w:w="313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267"/>
                <w:tag w:val="student_meta_1"/>
                <w:alias w:val="student_meta_1"/>
                <w:text w:multiLine="1"/>
              </w:sdtPr>
              <w:sdtContent>
                <w:r>
                  <w:rPr>
                    <w:sz w:val="21"/>
                    <w:rFonts w:eastAsia="Arial" w:ascii="Arial" w:hAnsi="Arial" w:cs="Arial"/>
                    <w:szCs w:val="21"/>
                  </w:rPr>
                  <w:t xml:space="preserve">______________</w:t>
                </w:r>
              </w:sdtContent>
            </w:sdt>
          </w:p>
        </w:tc>
        <w:tc>
          <w:tcPr>
            <w:tcW w:type="dxa" w:w="308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268"/>
                <w:tag w:val="student_meta_2"/>
                <w:alias w:val="student_meta_2"/>
                <w:text w:multiLine="1"/>
              </w:sdtPr>
              <w:sdtContent>
                <w:r>
                  <w:rPr>
                    <w:sz w:val="21"/>
                    <w:rFonts w:eastAsia="Arial" w:ascii="Arial" w:hAnsi="Arial" w:cs="Arial"/>
                    <w:szCs w:val="21"/>
                  </w:rPr>
                  <w:t xml:space="preserve">______________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8"/>
        <w:gridCol w:w="3138"/>
        <w:gridCol w:w="3084"/>
      </w:tblGrid>
      <w:tr>
        <w:trPr>
          <w:cantSplit/>
          <w:tblHeader/>
        </w:trPr>
        <w:tc>
          <w:tcPr>
            <w:tcW w:type="dxa" w:w="313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First-station case</w:t>
            </w:r>
          </w:p>
        </w:tc>
        <w:tc>
          <w:tcPr>
            <w:tcW w:type="dxa" w:w="313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Second-station case</w:t>
            </w:r>
          </w:p>
        </w:tc>
        <w:tc>
          <w:tcPr>
            <w:tcW w:type="dxa" w:w="3084"/>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Year of study</w:t>
            </w:r>
          </w:p>
        </w:tc>
      </w:tr>
      <w:tr>
        <w:trPr>
          <w:cantSplit/>
        </w:trPr>
        <w:tc>
          <w:tcPr>
            <w:tcW w:type="dxa" w:w="313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269"/>
                <w:tag w:val="student_case_0"/>
                <w:alias w:val="student_case_0"/>
                <w:text w:multiLine="1"/>
              </w:sdtPr>
              <w:sdtContent>
                <w:r>
                  <w:rPr>
                    <w:sz w:val="21"/>
                    <w:rFonts w:eastAsia="Arial" w:ascii="Arial" w:hAnsi="Arial" w:cs="Arial"/>
                    <w:szCs w:val="21"/>
                  </w:rPr>
                  <w:t xml:space="preserve">______________</w:t>
                </w:r>
              </w:sdtContent>
            </w:sdt>
          </w:p>
        </w:tc>
        <w:tc>
          <w:tcPr>
            <w:tcW w:type="dxa" w:w="313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270"/>
                <w:tag w:val="student_case_1"/>
                <w:alias w:val="student_case_1"/>
                <w:text w:multiLine="1"/>
              </w:sdtPr>
              <w:sdtContent>
                <w:r>
                  <w:rPr>
                    <w:sz w:val="21"/>
                    <w:rFonts w:eastAsia="Arial" w:ascii="Arial" w:hAnsi="Arial" w:cs="Arial"/>
                    <w:szCs w:val="21"/>
                  </w:rPr>
                  <w:t xml:space="preserve">______________</w:t>
                </w:r>
              </w:sdtContent>
            </w:sdt>
          </w:p>
        </w:tc>
        <w:tc>
          <w:tcPr>
            <w:tcW w:type="dxa" w:w="3084"/>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271"/>
                <w:tag w:val="student_case_2"/>
                <w:alias w:val="student_case_2"/>
                <w:text w:multiLine="1"/>
              </w:sdtPr>
              <w:sdtContent>
                <w:r>
                  <w:rPr>
                    <w:sz w:val="21"/>
                    <w:rFonts w:eastAsia="Arial" w:ascii="Arial" w:hAnsi="Arial" w:cs="Arial"/>
                    <w:szCs w:val="21"/>
                  </w:rPr>
                  <w:t xml:space="preserve">______________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p>
      <w:pPr>
        <w:spacing w:line="246" w:lineRule="auto" w:after="80"/>
      </w:pPr>
      <w:r>
        <w:rPr>
          <w:rFonts w:ascii="Arial" w:hAnsi="Arial" w:eastAsia="Arial" w:cs="Arial"/>
          <w:sz w:val="21"/>
          <w:szCs w:val="21"/>
        </w:rPr>
        <w:t>1 Strongly disagree; 2 Disagree; 3 Neutral; 4 Agree; 5 Strongly agree; X Cannot determine. For a low rating or a problem, describe what happened or quote the dialogue in the right-hand column. If there was no problem, write 'None'.</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8"/>
        <w:gridCol w:w="1706"/>
        <w:gridCol w:w="1706"/>
        <w:gridCol w:w="2919"/>
      </w:tblGrid>
      <w:tr>
        <w:trPr>
          <w:cantSplit/>
          <w:tblHeader/>
        </w:trPr>
        <w:tc>
          <w:tcPr>
            <w:tcW w:type="dxa" w:w="302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Statement</w:t>
            </w:r>
          </w:p>
        </w:tc>
        <w:tc>
          <w:tcPr>
            <w:tcW w:type="dxa" w:w="1706"/>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First station</w:t>
            </w:r>
          </w:p>
        </w:tc>
        <w:tc>
          <w:tcPr>
            <w:tcW w:type="dxa" w:w="1706"/>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Second station</w:t>
            </w:r>
          </w:p>
        </w:tc>
        <w:tc>
          <w:tcPr>
            <w:tcW w:type="dxa" w:w="2919"/>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Issue or explanation</w:t>
            </w:r>
          </w:p>
        </w:tc>
      </w:tr>
      <w:tr>
        <w:trPr>
          <w:cantSplit/>
        </w:trPr>
        <w:tc>
          <w:tcPr>
            <w:tcW w:type="dxa" w:w="302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1 I could complete the consultation task without technical problems interrupting the interaction.</w:t>
            </w:r>
          </w:p>
        </w:tc>
        <w:tc>
          <w:tcPr>
            <w:tcW w:type="dxa" w:w="1706"/>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272"/>
                <w:tag w:val="student_q1_first_0"/>
                <w:alias w:val="student_q1_first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1  </w:t>
            </w:r>
            <w:sdt>
              <w:sdtPr>
                <w:id w:val="1273"/>
                <w:tag w:val="student_q1_first_1"/>
                <w:alias w:val="student_q1_first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2  </w:t>
            </w:r>
            <w:sdt>
              <w:sdtPr>
                <w:id w:val="1274"/>
                <w:tag w:val="student_q1_first_2"/>
                <w:alias w:val="student_q1_first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3  </w:t>
            </w:r>
          </w:p>
          <w:p>
            <w:pPr>
              <w:spacing w:after="30" w:line="246" w:lineRule="auto"/>
            </w:pPr>
            <w:sdt>
              <w:sdtPr>
                <w:id w:val="1275"/>
                <w:tag w:val="student_q1_first_3"/>
                <w:alias w:val="student_q1_first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4  </w:t>
            </w:r>
            <w:sdt>
              <w:sdtPr>
                <w:id w:val="1276"/>
                <w:tag w:val="student_q1_first_4"/>
                <w:alias w:val="student_q1_first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5  </w:t>
            </w:r>
            <w:sdt>
              <w:sdtPr>
                <w:id w:val="1277"/>
                <w:tag w:val="student_q1_first_5"/>
                <w:alias w:val="student_q1_first_5"/>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X  </w:t>
            </w:r>
          </w:p>
        </w:tc>
        <w:tc>
          <w:tcPr>
            <w:tcW w:type="dxa" w:w="1706"/>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278"/>
                <w:tag w:val="student_q1_second_0"/>
                <w:alias w:val="student_q1_second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1  </w:t>
            </w:r>
            <w:sdt>
              <w:sdtPr>
                <w:id w:val="1279"/>
                <w:tag w:val="student_q1_second_1"/>
                <w:alias w:val="student_q1_second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2  </w:t>
            </w:r>
            <w:sdt>
              <w:sdtPr>
                <w:id w:val="1280"/>
                <w:tag w:val="student_q1_second_2"/>
                <w:alias w:val="student_q1_second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3  </w:t>
            </w:r>
          </w:p>
          <w:p>
            <w:pPr>
              <w:spacing w:after="30" w:line="246" w:lineRule="auto"/>
            </w:pPr>
            <w:sdt>
              <w:sdtPr>
                <w:id w:val="1281"/>
                <w:tag w:val="student_q1_second_3"/>
                <w:alias w:val="student_q1_second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4  </w:t>
            </w:r>
            <w:sdt>
              <w:sdtPr>
                <w:id w:val="1282"/>
                <w:tag w:val="student_q1_second_4"/>
                <w:alias w:val="student_q1_second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5  </w:t>
            </w:r>
            <w:sdt>
              <w:sdtPr>
                <w:id w:val="1283"/>
                <w:tag w:val="student_q1_second_5"/>
                <w:alias w:val="student_q1_second_5"/>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X  </w:t>
            </w:r>
          </w:p>
        </w:tc>
        <w:tc>
          <w:tcPr>
            <w:tcW w:type="dxa" w:w="2919"/>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r>
              <w:rPr>
                <w:sz w:val="21"/>
                <w:rFonts w:ascii="Arial" w:hAnsi="Arial" w:eastAsia="Arial" w:cs="Arial"/>
                <w:szCs w:val="21"/>
              </w:rPr>
              <w:t xml:space="preserve">Station: </w:t>
            </w:r>
            <w:sdt>
              <w:sdtPr>
                <w:id w:val="1284"/>
                <w:tag w:val="student_q1_comment1"/>
                <w:alias w:val="student_q1_comment1"/>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What happened/quote: </w:t>
            </w:r>
            <w:sdt>
              <w:sdtPr>
                <w:id w:val="1285"/>
                <w:tag w:val="student_q1_comment2"/>
                <w:alias w:val="student_q1_comment2"/>
                <w:text w:multiLine="1"/>
              </w:sdtPr>
              <w:sdtContent>
                <w:r>
                  <w:rPr>
                    <w:sz w:val="21"/>
                    <w:rFonts w:eastAsia="Arial" w:ascii="Arial" w:hAnsi="Arial" w:cs="Arial"/>
                    <w:szCs w:val="21"/>
                  </w:rPr>
                  <w:t xml:space="preserve">__________</w:t>
                </w:r>
              </w:sdtContent>
            </w:sdt>
          </w:p>
        </w:tc>
      </w:tr>
      <w:tr>
        <w:trPr>
          <w:cantSplit/>
        </w:trPr>
        <w:tc>
          <w:tcPr>
            <w:tcW w:type="dxa" w:w="3028"/>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2 The other party maintained a clear doctor or patient identity.</w:t>
            </w:r>
          </w:p>
        </w:tc>
        <w:tc>
          <w:tcPr>
            <w:tcW w:type="dxa" w:w="1706"/>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sdt>
              <w:sdtPr>
                <w:id w:val="1286"/>
                <w:tag w:val="student_q2_first_0"/>
                <w:alias w:val="student_q2_first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1  </w:t>
            </w:r>
            <w:sdt>
              <w:sdtPr>
                <w:id w:val="1287"/>
                <w:tag w:val="student_q2_first_1"/>
                <w:alias w:val="student_q2_first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2  </w:t>
            </w:r>
            <w:sdt>
              <w:sdtPr>
                <w:id w:val="1288"/>
                <w:tag w:val="student_q2_first_2"/>
                <w:alias w:val="student_q2_first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3  </w:t>
            </w:r>
          </w:p>
          <w:p>
            <w:pPr>
              <w:spacing w:after="30" w:line="246" w:lineRule="auto"/>
            </w:pPr>
            <w:sdt>
              <w:sdtPr>
                <w:id w:val="1289"/>
                <w:tag w:val="student_q2_first_3"/>
                <w:alias w:val="student_q2_first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4  </w:t>
            </w:r>
            <w:sdt>
              <w:sdtPr>
                <w:id w:val="1290"/>
                <w:tag w:val="student_q2_first_4"/>
                <w:alias w:val="student_q2_first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5  </w:t>
            </w:r>
            <w:sdt>
              <w:sdtPr>
                <w:id w:val="1291"/>
                <w:tag w:val="student_q2_first_5"/>
                <w:alias w:val="student_q2_first_5"/>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X  </w:t>
            </w:r>
          </w:p>
        </w:tc>
        <w:tc>
          <w:tcPr>
            <w:tcW w:type="dxa" w:w="1706"/>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sdt>
              <w:sdtPr>
                <w:id w:val="1292"/>
                <w:tag w:val="student_q2_second_0"/>
                <w:alias w:val="student_q2_second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1  </w:t>
            </w:r>
            <w:sdt>
              <w:sdtPr>
                <w:id w:val="1293"/>
                <w:tag w:val="student_q2_second_1"/>
                <w:alias w:val="student_q2_second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2  </w:t>
            </w:r>
            <w:sdt>
              <w:sdtPr>
                <w:id w:val="1294"/>
                <w:tag w:val="student_q2_second_2"/>
                <w:alias w:val="student_q2_second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3  </w:t>
            </w:r>
          </w:p>
          <w:p>
            <w:pPr>
              <w:spacing w:after="30" w:line="246" w:lineRule="auto"/>
            </w:pPr>
            <w:sdt>
              <w:sdtPr>
                <w:id w:val="1295"/>
                <w:tag w:val="student_q2_second_3"/>
                <w:alias w:val="student_q2_second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4  </w:t>
            </w:r>
            <w:sdt>
              <w:sdtPr>
                <w:id w:val="1296"/>
                <w:tag w:val="student_q2_second_4"/>
                <w:alias w:val="student_q2_second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5  </w:t>
            </w:r>
            <w:sdt>
              <w:sdtPr>
                <w:id w:val="1297"/>
                <w:tag w:val="student_q2_second_5"/>
                <w:alias w:val="student_q2_second_5"/>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X  </w:t>
            </w:r>
          </w:p>
        </w:tc>
        <w:tc>
          <w:tcPr>
            <w:tcW w:type="dxa" w:w="2919"/>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r>
              <w:rPr>
                <w:sz w:val="21"/>
                <w:rFonts w:ascii="Arial" w:hAnsi="Arial" w:eastAsia="Arial" w:cs="Arial"/>
                <w:szCs w:val="21"/>
              </w:rPr>
              <w:t xml:space="preserve">Station: </w:t>
            </w:r>
            <w:sdt>
              <w:sdtPr>
                <w:id w:val="1298"/>
                <w:tag w:val="student_q2_comment1"/>
                <w:alias w:val="student_q2_comment1"/>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What happened/quote: </w:t>
            </w:r>
            <w:sdt>
              <w:sdtPr>
                <w:id w:val="1299"/>
                <w:tag w:val="student_q2_comment2"/>
                <w:alias w:val="student_q2_comment2"/>
                <w:text w:multiLine="1"/>
              </w:sdtPr>
              <w:sdtContent>
                <w:r>
                  <w:rPr>
                    <w:sz w:val="21"/>
                    <w:rFonts w:eastAsia="Arial" w:ascii="Arial" w:hAnsi="Arial" w:cs="Arial"/>
                    <w:szCs w:val="21"/>
                  </w:rPr>
                  <w:t xml:space="preserve">__________</w:t>
                </w:r>
              </w:sdtContent>
            </w:sdt>
          </w:p>
        </w:tc>
      </w:tr>
      <w:tr>
        <w:trPr>
          <w:cantSplit/>
        </w:trPr>
        <w:tc>
          <w:tcPr>
            <w:tcW w:type="dxa" w:w="302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3 The information provided remained consistent, without obvious contradictions.</w:t>
            </w:r>
          </w:p>
        </w:tc>
        <w:tc>
          <w:tcPr>
            <w:tcW w:type="dxa" w:w="1706"/>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300"/>
                <w:tag w:val="student_q3_first_0"/>
                <w:alias w:val="student_q3_first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1  </w:t>
            </w:r>
            <w:sdt>
              <w:sdtPr>
                <w:id w:val="1301"/>
                <w:tag w:val="student_q3_first_1"/>
                <w:alias w:val="student_q3_first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2  </w:t>
            </w:r>
            <w:sdt>
              <w:sdtPr>
                <w:id w:val="1302"/>
                <w:tag w:val="student_q3_first_2"/>
                <w:alias w:val="student_q3_first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3  </w:t>
            </w:r>
          </w:p>
          <w:p>
            <w:pPr>
              <w:spacing w:after="30" w:line="246" w:lineRule="auto"/>
            </w:pPr>
            <w:sdt>
              <w:sdtPr>
                <w:id w:val="1303"/>
                <w:tag w:val="student_q3_first_3"/>
                <w:alias w:val="student_q3_first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4  </w:t>
            </w:r>
            <w:sdt>
              <w:sdtPr>
                <w:id w:val="1304"/>
                <w:tag w:val="student_q3_first_4"/>
                <w:alias w:val="student_q3_first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5  </w:t>
            </w:r>
            <w:sdt>
              <w:sdtPr>
                <w:id w:val="1305"/>
                <w:tag w:val="student_q3_first_5"/>
                <w:alias w:val="student_q3_first_5"/>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X  </w:t>
            </w:r>
          </w:p>
        </w:tc>
        <w:tc>
          <w:tcPr>
            <w:tcW w:type="dxa" w:w="1706"/>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306"/>
                <w:tag w:val="student_q3_second_0"/>
                <w:alias w:val="student_q3_second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1  </w:t>
            </w:r>
            <w:sdt>
              <w:sdtPr>
                <w:id w:val="1307"/>
                <w:tag w:val="student_q3_second_1"/>
                <w:alias w:val="student_q3_second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2  </w:t>
            </w:r>
            <w:sdt>
              <w:sdtPr>
                <w:id w:val="1308"/>
                <w:tag w:val="student_q3_second_2"/>
                <w:alias w:val="student_q3_second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3  </w:t>
            </w:r>
          </w:p>
          <w:p>
            <w:pPr>
              <w:spacing w:after="30" w:line="246" w:lineRule="auto"/>
            </w:pPr>
            <w:sdt>
              <w:sdtPr>
                <w:id w:val="1309"/>
                <w:tag w:val="student_q3_second_3"/>
                <w:alias w:val="student_q3_second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4  </w:t>
            </w:r>
            <w:sdt>
              <w:sdtPr>
                <w:id w:val="1310"/>
                <w:tag w:val="student_q3_second_4"/>
                <w:alias w:val="student_q3_second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5  </w:t>
            </w:r>
            <w:sdt>
              <w:sdtPr>
                <w:id w:val="1311"/>
                <w:tag w:val="student_q3_second_5"/>
                <w:alias w:val="student_q3_second_5"/>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X  </w:t>
            </w:r>
          </w:p>
        </w:tc>
        <w:tc>
          <w:tcPr>
            <w:tcW w:type="dxa" w:w="2919"/>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r>
              <w:rPr>
                <w:sz w:val="21"/>
                <w:rFonts w:ascii="Arial" w:hAnsi="Arial" w:eastAsia="Arial" w:cs="Arial"/>
                <w:szCs w:val="21"/>
              </w:rPr>
              <w:t xml:space="preserve">Station: </w:t>
            </w:r>
            <w:sdt>
              <w:sdtPr>
                <w:id w:val="1312"/>
                <w:tag w:val="student_q3_comment1"/>
                <w:alias w:val="student_q3_comment1"/>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What happened/quote: </w:t>
            </w:r>
            <w:sdt>
              <w:sdtPr>
                <w:id w:val="1313"/>
                <w:tag w:val="student_q3_comment2"/>
                <w:alias w:val="student_q3_comment2"/>
                <w:text w:multiLine="1"/>
              </w:sdtPr>
              <w:sdtContent>
                <w:r>
                  <w:rPr>
                    <w:sz w:val="21"/>
                    <w:rFonts w:eastAsia="Arial" w:ascii="Arial" w:hAnsi="Arial" w:cs="Arial"/>
                    <w:szCs w:val="21"/>
                  </w:rPr>
                  <w:t xml:space="preserve">__________</w:t>
                </w:r>
              </w:sdtContent>
            </w:sdt>
          </w:p>
        </w:tc>
      </w:tr>
      <w:tr>
        <w:trPr>
          <w:cantSplit/>
        </w:trPr>
        <w:tc>
          <w:tcPr>
            <w:tcW w:type="dxa" w:w="3028"/>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t>4 The responses and follow-up questions were relevant to the consultation and allowed the discussion to continue.</w:t>
            </w:r>
          </w:p>
        </w:tc>
        <w:tc>
          <w:tcPr>
            <w:tcW w:type="dxa" w:w="1706"/>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sdt>
              <w:sdtPr>
                <w:id w:val="1314"/>
                <w:tag w:val="student_q4_first_0"/>
                <w:alias w:val="student_q4_first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1  </w:t>
            </w:r>
            <w:sdt>
              <w:sdtPr>
                <w:id w:val="1315"/>
                <w:tag w:val="student_q4_first_1"/>
                <w:alias w:val="student_q4_first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2  </w:t>
            </w:r>
            <w:sdt>
              <w:sdtPr>
                <w:id w:val="1316"/>
                <w:tag w:val="student_q4_first_2"/>
                <w:alias w:val="student_q4_first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3  </w:t>
            </w:r>
          </w:p>
          <w:p>
            <w:pPr>
              <w:spacing w:after="30" w:line="246" w:lineRule="auto"/>
            </w:pPr>
            <w:sdt>
              <w:sdtPr>
                <w:id w:val="1317"/>
                <w:tag w:val="student_q4_first_3"/>
                <w:alias w:val="student_q4_first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4  </w:t>
            </w:r>
            <w:sdt>
              <w:sdtPr>
                <w:id w:val="1318"/>
                <w:tag w:val="student_q4_first_4"/>
                <w:alias w:val="student_q4_first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5  </w:t>
            </w:r>
            <w:sdt>
              <w:sdtPr>
                <w:id w:val="1319"/>
                <w:tag w:val="student_q4_first_5"/>
                <w:alias w:val="student_q4_first_5"/>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X  </w:t>
            </w:r>
          </w:p>
        </w:tc>
        <w:tc>
          <w:tcPr>
            <w:tcW w:type="dxa" w:w="1706"/>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sdt>
              <w:sdtPr>
                <w:id w:val="1320"/>
                <w:tag w:val="student_q4_second_0"/>
                <w:alias w:val="student_q4_second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1  </w:t>
            </w:r>
            <w:sdt>
              <w:sdtPr>
                <w:id w:val="1321"/>
                <w:tag w:val="student_q4_second_1"/>
                <w:alias w:val="student_q4_second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2  </w:t>
            </w:r>
            <w:sdt>
              <w:sdtPr>
                <w:id w:val="1322"/>
                <w:tag w:val="student_q4_second_2"/>
                <w:alias w:val="student_q4_second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3  </w:t>
            </w:r>
          </w:p>
          <w:p>
            <w:pPr>
              <w:spacing w:after="30" w:line="246" w:lineRule="auto"/>
            </w:pPr>
            <w:sdt>
              <w:sdtPr>
                <w:id w:val="1323"/>
                <w:tag w:val="student_q4_second_3"/>
                <w:alias w:val="student_q4_second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4  </w:t>
            </w:r>
            <w:sdt>
              <w:sdtPr>
                <w:id w:val="1324"/>
                <w:tag w:val="student_q4_second_4"/>
                <w:alias w:val="student_q4_second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5  </w:t>
            </w:r>
            <w:sdt>
              <w:sdtPr>
                <w:id w:val="1325"/>
                <w:tag w:val="student_q4_second_5"/>
                <w:alias w:val="student_q4_second_5"/>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X  </w:t>
            </w:r>
          </w:p>
        </w:tc>
        <w:tc>
          <w:tcPr>
            <w:tcW w:type="dxa" w:w="2919"/>
            <w:vAlign w:val="center"/>
            <w:tcMar>
              <w:top w:w="100" w:type="dxa"/>
              <w:bottom w:w="100" w:type="dxa"/>
              <w:left w:w="100" w:type="dxa"/>
              <w:right w:w="100" w:type="dxa"/>
            </w:tcMar>
            <w:shd w:fill="F4F6F8"/>
          </w:tcPr>
          <w:p>
            <w:pPr>
              <w:spacing w:line="246" w:lineRule="auto" w:after="30"/>
            </w:pPr>
            <w:r>
              <w:rPr>
                <w:sz w:val="21"/>
                <w:rFonts w:ascii="Arial" w:hAnsi="Arial" w:eastAsia="Arial" w:cs="Arial"/>
                <w:szCs w:val="21"/>
              </w:rPr>
            </w:r>
            <w:r>
              <w:rPr>
                <w:sz w:val="21"/>
                <w:rFonts w:ascii="Arial" w:hAnsi="Arial" w:eastAsia="Arial" w:cs="Arial"/>
                <w:szCs w:val="21"/>
              </w:rPr>
              <w:t xml:space="preserve">Station: </w:t>
            </w:r>
            <w:sdt>
              <w:sdtPr>
                <w:id w:val="1326"/>
                <w:tag w:val="student_q4_comment1"/>
                <w:alias w:val="student_q4_comment1"/>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What happened/quote: </w:t>
            </w:r>
            <w:sdt>
              <w:sdtPr>
                <w:id w:val="1327"/>
                <w:tag w:val="student_q4_comment2"/>
                <w:alias w:val="student_q4_comment2"/>
                <w:text w:multiLine="1"/>
              </w:sdtPr>
              <w:sdtContent>
                <w:r>
                  <w:rPr>
                    <w:sz w:val="21"/>
                    <w:rFonts w:eastAsia="Arial" w:ascii="Arial" w:hAnsi="Arial" w:cs="Arial"/>
                    <w:szCs w:val="21"/>
                  </w:rPr>
                  <w:t xml:space="preserve">__________</w:t>
                </w:r>
              </w:sdtContent>
            </w:sdt>
          </w:p>
        </w:tc>
      </w:tr>
      <w:tr>
        <w:trPr>
          <w:cantSplit/>
        </w:trPr>
        <w:tc>
          <w:tcPr>
            <w:tcW w:type="dxa" w:w="302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t>5 I consider this type of consultation suitable for practising similar cases.</w:t>
            </w:r>
          </w:p>
        </w:tc>
        <w:tc>
          <w:tcPr>
            <w:tcW w:type="dxa" w:w="1706"/>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328"/>
                <w:tag w:val="student_q5_first_0"/>
                <w:alias w:val="student_q5_first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1  </w:t>
            </w:r>
            <w:sdt>
              <w:sdtPr>
                <w:id w:val="1329"/>
                <w:tag w:val="student_q5_first_1"/>
                <w:alias w:val="student_q5_first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2  </w:t>
            </w:r>
            <w:sdt>
              <w:sdtPr>
                <w:id w:val="1330"/>
                <w:tag w:val="student_q5_first_2"/>
                <w:alias w:val="student_q5_first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3  </w:t>
            </w:r>
          </w:p>
          <w:p>
            <w:pPr>
              <w:spacing w:after="30" w:line="246" w:lineRule="auto"/>
            </w:pPr>
            <w:sdt>
              <w:sdtPr>
                <w:id w:val="1331"/>
                <w:tag w:val="student_q5_first_3"/>
                <w:alias w:val="student_q5_first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4  </w:t>
            </w:r>
            <w:sdt>
              <w:sdtPr>
                <w:id w:val="1332"/>
                <w:tag w:val="student_q5_first_4"/>
                <w:alias w:val="student_q5_first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5  </w:t>
            </w:r>
            <w:sdt>
              <w:sdtPr>
                <w:id w:val="1333"/>
                <w:tag w:val="student_q5_first_5"/>
                <w:alias w:val="student_q5_first_5"/>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X  </w:t>
            </w:r>
          </w:p>
        </w:tc>
        <w:tc>
          <w:tcPr>
            <w:tcW w:type="dxa" w:w="1706"/>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334"/>
                <w:tag w:val="student_q5_second_0"/>
                <w:alias w:val="student_q5_second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1  </w:t>
            </w:r>
            <w:sdt>
              <w:sdtPr>
                <w:id w:val="1335"/>
                <w:tag w:val="student_q5_second_1"/>
                <w:alias w:val="student_q5_second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2  </w:t>
            </w:r>
            <w:sdt>
              <w:sdtPr>
                <w:id w:val="1336"/>
                <w:tag w:val="student_q5_second_2"/>
                <w:alias w:val="student_q5_second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3  </w:t>
            </w:r>
          </w:p>
          <w:p>
            <w:pPr>
              <w:spacing w:after="30" w:line="246" w:lineRule="auto"/>
            </w:pPr>
            <w:sdt>
              <w:sdtPr>
                <w:id w:val="1337"/>
                <w:tag w:val="student_q5_second_3"/>
                <w:alias w:val="student_q5_second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4  </w:t>
            </w:r>
            <w:sdt>
              <w:sdtPr>
                <w:id w:val="1338"/>
                <w:tag w:val="student_q5_second_4"/>
                <w:alias w:val="student_q5_second_4"/>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5  </w:t>
            </w:r>
            <w:sdt>
              <w:sdtPr>
                <w:id w:val="1339"/>
                <w:tag w:val="student_q5_second_5"/>
                <w:alias w:val="student_q5_second_5"/>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X  </w:t>
            </w:r>
          </w:p>
        </w:tc>
        <w:tc>
          <w:tcPr>
            <w:tcW w:type="dxa" w:w="2919"/>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r>
              <w:rPr>
                <w:sz w:val="21"/>
                <w:rFonts w:ascii="Arial" w:hAnsi="Arial" w:eastAsia="Arial" w:cs="Arial"/>
                <w:szCs w:val="21"/>
              </w:rPr>
              <w:t xml:space="preserve">Station: </w:t>
            </w:r>
            <w:sdt>
              <w:sdtPr>
                <w:id w:val="1340"/>
                <w:tag w:val="student_q5_comment1"/>
                <w:alias w:val="student_q5_comment1"/>
                <w:text w:multiLine="1"/>
              </w:sdtPr>
              <w:sdtContent>
                <w:r>
                  <w:rPr>
                    <w:sz w:val="21"/>
                    <w:rFonts w:eastAsia="Arial" w:ascii="Arial" w:hAnsi="Arial" w:cs="Arial"/>
                    <w:szCs w:val="21"/>
                  </w:rPr>
                  <w:t xml:space="preserve">____________</w:t>
                </w:r>
              </w:sdtContent>
            </w:sdt>
          </w:p>
          <w:p>
            <w:pPr>
              <w:spacing w:after="30" w:line="246" w:lineRule="auto"/>
            </w:pPr>
            <w:r>
              <w:rPr>
                <w:sz w:val="21"/>
                <w:rFonts w:ascii="Arial" w:hAnsi="Arial" w:eastAsia="Arial" w:cs="Arial"/>
                <w:szCs w:val="21"/>
              </w:rPr>
              <w:t xml:space="preserve">What happened/quote: </w:t>
            </w:r>
            <w:sdt>
              <w:sdtPr>
                <w:id w:val="1341"/>
                <w:tag w:val="student_q5_comment2"/>
                <w:alias w:val="student_q5_comment2"/>
                <w:text w:multiLine="1"/>
              </w:sdtPr>
              <w:sdtContent>
                <w:r>
                  <w:rPr>
                    <w:sz w:val="21"/>
                    <w:rFonts w:eastAsia="Arial" w:ascii="Arial" w:hAnsi="Arial" w:cs="Arial"/>
                    <w:szCs w:val="21"/>
                  </w:rPr>
                  <w:t xml:space="preserve">__________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trPr>
          <w:cantSplit/>
          <w:tblHeader/>
        </w:trPr>
        <w:tc>
          <w:tcPr>
            <w:tcW w:type="dxa" w:w="9360"/>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One improvement or additional comment</w:t>
            </w:r>
          </w:p>
        </w:tc>
      </w:tr>
      <w:tr>
        <w:trPr>
          <w:cantSplit/>
        </w:trPr>
        <w:tc>
          <w:tcPr>
            <w:tcW w:type="dxa" w:w="9360"/>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342"/>
                <w:tag w:val="student_extra"/>
                <w:alias w:val="student_extra"/>
                <w:text w:multiLine="1"/>
              </w:sdtPr>
              <w:sdtContent>
                <w:r>
                  <w:rPr>
                    <w:sz w:val="21"/>
                    <w:rFonts w:eastAsia="Arial" w:ascii="Arial" w:hAnsi="Arial" w:cs="Arial"/>
                    <w:szCs w:val="21"/>
                  </w:rPr>
                  <w:t xml:space="preserve">__________________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p>
      <w:pPr>
        <w:spacing w:line="246" w:lineRule="auto" w:after="80"/>
      </w:pPr>
      <w:r>
        <w:rPr>
          <w:sz w:val="21"/>
          <w:rFonts w:ascii="Arial" w:hAnsi="Arial" w:eastAsia="Arial" w:cs="Arial"/>
          <w:szCs w:val="21"/>
        </w:rPr>
        <w:t>This questionnaire does not ask about the accuracy of grades that students have not yet seen and does not affect course grades. The items were written for this study; two students outside the formal sample should check their clarity before the activity. Report results item by item, without claiming a validated scale.</w:t>
      </w:r>
      <w:hyperlink w:anchor="ref_R33">
        <w:r>
          <w:rPr>
            <w:color w:val="184E7B"/>
            <w:u w:val="single"/>
            <w:sz w:val="20"/>
            <w:rFonts w:ascii="Arial" w:hAnsi="Arial" w:eastAsia="Arial" w:cs="Arial"/>
            <w:szCs w:val="20"/>
          </w:rPr>
          <w:t>[17]</w:t>
        </w:r>
      </w:hyperlink>
      <w:r>
        <w:rPr>
          <w:sz w:val="21"/>
          <w:rFonts w:ascii="Arial" w:hAnsi="Arial" w:eastAsia="Arial" w:cs="Arial"/>
          <w:szCs w:val="21"/>
        </w:rPr>
      </w:r>
    </w:p>
    <w:p>
      <w:pPr>
        <w:pStyle w:val="Heading1"/>
        <w:pageBreakBefore w:val="1"/>
        <w:spacing w:line="246" w:lineRule="auto" w:after="80"/>
      </w:pPr>
      <w:r>
        <w:rPr>
          <w:rFonts w:ascii="Arial" w:hAnsi="Arial" w:eastAsia="Arial" w:cs="Arial"/>
          <w:sz w:val="26"/>
          <w:szCs w:val="26"/>
        </w:rPr>
        <w:t>Appendix D. Faculty Judgement of Educational Use</w:t>
      </w:r>
    </w:p>
    <w:p>
      <w:pPr>
        <w:spacing w:line="246" w:lineRule="auto" w:after="80"/>
      </w:pPr>
      <w:r>
        <w:rPr>
          <w:rFonts w:ascii="Arial" w:hAnsi="Arial" w:eastAsia="Arial" w:cs="Arial"/>
          <w:sz w:val="21"/>
          <w:szCs w:val="21"/>
        </w:rPr>
        <w:t>Complete after reviewing the assigned consultation and assessment records. Judge educational use separately from the EGJ-versus-conventional accuracy comparison. Give a reason for each item. Record any unresolved School standards below; no new formal examination scale is required.</w:t>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2"/>
        <w:gridCol w:w="2312"/>
        <w:gridCol w:w="2368"/>
        <w:gridCol w:w="2368"/>
      </w:tblGrid>
      <w:tr>
        <w:trPr>
          <w:cantSplit/>
          <w:tblHeader/>
        </w:trPr>
        <w:tc>
          <w:tcPr>
            <w:tcW w:type="dxa" w:w="2312"/>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Record ID</w:t>
            </w:r>
          </w:p>
        </w:tc>
        <w:tc>
          <w:tcPr>
            <w:tcW w:type="dxa" w:w="2312"/>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Station</w:t>
            </w:r>
          </w:p>
        </w:tc>
        <w:tc>
          <w:tcPr>
            <w:tcW w:type="dxa" w:w="236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Faculty or student ID</w:t>
            </w:r>
          </w:p>
        </w:tc>
        <w:tc>
          <w:tcPr>
            <w:tcW w:type="dxa" w:w="2368"/>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Date</w:t>
            </w:r>
          </w:p>
        </w:tc>
      </w:tr>
      <w:tr>
        <w:trPr>
          <w:cantSplit/>
        </w:trPr>
        <w:tc>
          <w:tcPr>
            <w:tcW w:type="dxa" w:w="231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343"/>
                <w:tag w:val="teacher_accept_meta_0"/>
                <w:alias w:val="teacher_accept_meta_0"/>
                <w:text w:multiLine="1"/>
              </w:sdtPr>
              <w:sdtContent>
                <w:r>
                  <w:rPr>
                    <w:sz w:val="21"/>
                    <w:rFonts w:eastAsia="Arial" w:ascii="Arial" w:hAnsi="Arial" w:cs="Arial"/>
                    <w:szCs w:val="21"/>
                  </w:rPr>
                  <w:t xml:space="preserve">____________</w:t>
                </w:r>
              </w:sdtContent>
            </w:sdt>
          </w:p>
        </w:tc>
        <w:tc>
          <w:tcPr>
            <w:tcW w:type="dxa" w:w="2312"/>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344"/>
                <w:tag w:val="teacher_accept_meta_1"/>
                <w:alias w:val="teacher_accept_meta_1"/>
                <w:text w:multiLine="1"/>
              </w:sdtPr>
              <w:sdtContent>
                <w:r>
                  <w:rPr>
                    <w:sz w:val="21"/>
                    <w:rFonts w:eastAsia="Arial" w:ascii="Arial" w:hAnsi="Arial" w:cs="Arial"/>
                    <w:szCs w:val="21"/>
                  </w:rPr>
                  <w:t xml:space="preserve">____________</w:t>
                </w:r>
              </w:sdtContent>
            </w:sdt>
          </w:p>
        </w:tc>
        <w:tc>
          <w:tcPr>
            <w:tcW w:type="dxa" w:w="236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345"/>
                <w:tag w:val="teacher_accept_meta_2"/>
                <w:alias w:val="teacher_accept_meta_2"/>
                <w:text w:multiLine="1"/>
              </w:sdtPr>
              <w:sdtContent>
                <w:r>
                  <w:rPr>
                    <w:sz w:val="21"/>
                    <w:rFonts w:eastAsia="Arial" w:ascii="Arial" w:hAnsi="Arial" w:cs="Arial"/>
                    <w:szCs w:val="21"/>
                  </w:rPr>
                  <w:t xml:space="preserve">____________</w:t>
                </w:r>
              </w:sdtContent>
            </w:sdt>
          </w:p>
        </w:tc>
        <w:tc>
          <w:tcPr>
            <w:tcW w:type="dxa" w:w="2368"/>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346"/>
                <w:tag w:val="teacher_accept_meta_3"/>
                <w:alias w:val="teacher_accept_meta_3"/>
                <w:text w:multiLine="1"/>
              </w:sdtPr>
              <w:sdtContent>
                <w:r>
                  <w:rPr>
                    <w:sz w:val="21"/>
                    <w:rFonts w:eastAsia="Arial" w:ascii="Arial" w:hAnsi="Arial" w:cs="Arial"/>
                    <w:szCs w:val="21"/>
                  </w:rPr>
                  <w:t xml:space="preserve">____________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3"/>
        <w:gridCol w:w="2863"/>
        <w:gridCol w:w="3414"/>
      </w:tblGrid>
      <w:tr>
        <w:trPr>
          <w:cantSplit/>
          <w:tblHeader/>
        </w:trPr>
        <w:tc>
          <w:tcPr>
            <w:tcW w:type="dxa" w:w="3083"/>
            <w:vAlign w:val="center"/>
            <w:tcMar>
              <w:top w:w="40" w:type="dxa"/>
              <w:bottom w:w="40" w:type="dxa"/>
              <w:left w:w="100" w:type="dxa"/>
              <w:right w:w="100" w:type="dxa"/>
            </w:tcMar>
            <w:shd w:fill="E9EEF2"/>
          </w:tcPr>
          <w:p>
            <w:pPr>
              <w:keepNext/>
              <w:spacing w:line="240" w:lineRule="auto" w:after="0"/>
            </w:pPr>
            <w:r>
              <w:rPr>
                <w:b/>
                <w:color w:val="000000"/>
                <w:sz w:val="21"/>
                <w:rFonts w:ascii="Arial" w:hAnsi="Arial" w:eastAsia="Arial" w:cs="Arial"/>
                <w:szCs w:val="21"/>
              </w:rPr>
              <w:t>Question</w:t>
            </w:r>
          </w:p>
        </w:tc>
        <w:tc>
          <w:tcPr>
            <w:tcW w:type="dxa" w:w="2863"/>
            <w:vAlign w:val="center"/>
            <w:tcMar>
              <w:top w:w="40" w:type="dxa"/>
              <w:bottom w:w="40" w:type="dxa"/>
              <w:left w:w="100" w:type="dxa"/>
              <w:right w:w="100" w:type="dxa"/>
            </w:tcMar>
            <w:shd w:fill="E9EEF2"/>
          </w:tcPr>
          <w:p>
            <w:pPr>
              <w:keepNext/>
              <w:spacing w:line="240" w:lineRule="auto" w:after="0"/>
            </w:pPr>
            <w:r>
              <w:rPr>
                <w:b/>
                <w:color w:val="000000"/>
                <w:sz w:val="21"/>
                <w:rFonts w:ascii="Arial" w:hAnsi="Arial" w:eastAsia="Arial" w:cs="Arial"/>
                <w:szCs w:val="21"/>
              </w:rPr>
              <w:t>Faculty judgement</w:t>
            </w:r>
          </w:p>
        </w:tc>
        <w:tc>
          <w:tcPr>
            <w:tcW w:type="dxa" w:w="3414"/>
            <w:vAlign w:val="center"/>
            <w:tcMar>
              <w:top w:w="40" w:type="dxa"/>
              <w:bottom w:w="40" w:type="dxa"/>
              <w:left w:w="100" w:type="dxa"/>
              <w:right w:w="100" w:type="dxa"/>
            </w:tcMar>
            <w:shd w:fill="E9EEF2"/>
          </w:tcPr>
          <w:p>
            <w:pPr>
              <w:keepNext/>
              <w:spacing w:line="240" w:lineRule="auto" w:after="0"/>
            </w:pPr>
            <w:r>
              <w:rPr>
                <w:b/>
                <w:color w:val="000000"/>
                <w:sz w:val="21"/>
                <w:rFonts w:ascii="Arial" w:hAnsi="Arial" w:eastAsia="Arial" w:cs="Arial"/>
                <w:szCs w:val="21"/>
              </w:rPr>
              <w:t>Evidence and improvements needed</w:t>
            </w:r>
          </w:p>
        </w:tc>
      </w:tr>
      <w:tr>
        <w:trPr>
          <w:cantSplit/>
        </w:trPr>
        <w:tc>
          <w:tcPr>
            <w:tcW w:type="dxa" w:w="3083"/>
            <w:vAlign w:val="center"/>
            <w:tcMar>
              <w:top w:w="40" w:type="dxa"/>
              <w:bottom w:w="40" w:type="dxa"/>
              <w:left w:w="100" w:type="dxa"/>
              <w:right w:w="100" w:type="dxa"/>
            </w:tcMar>
            <w:shd w:fill="FFFFFF"/>
          </w:tcPr>
          <w:p>
            <w:pPr>
              <w:spacing w:line="240" w:lineRule="auto" w:after="0"/>
            </w:pPr>
            <w:r>
              <w:rPr>
                <w:sz w:val="21"/>
                <w:rFonts w:ascii="Arial" w:hAnsi="Arial" w:eastAsia="Arial" w:cs="Arial"/>
                <w:szCs w:val="21"/>
              </w:rPr>
              <w:t>1 Can consultations in all four stations be completed as originally intended?</w:t>
            </w:r>
          </w:p>
        </w:tc>
        <w:tc>
          <w:tcPr>
            <w:tcW w:type="dxa" w:w="2863"/>
            <w:vAlign w:val="center"/>
            <w:tcMar>
              <w:top w:w="40" w:type="dxa"/>
              <w:bottom w:w="40" w:type="dxa"/>
              <w:left w:w="100" w:type="dxa"/>
              <w:right w:w="100" w:type="dxa"/>
            </w:tcMar>
            <w:shd w:fill="FFFFFF"/>
          </w:tcPr>
          <w:p>
            <w:pPr>
              <w:spacing w:line="240" w:lineRule="auto" w:after="0"/>
            </w:pPr>
            <w:r>
              <w:rPr>
                <w:sz w:val="21"/>
                <w:rFonts w:ascii="Arial" w:hAnsi="Arial" w:eastAsia="Arial" w:cs="Arial"/>
                <w:szCs w:val="21"/>
              </w:rPr>
            </w:r>
            <w:sdt>
              <w:sdtPr>
                <w:id w:val="1347"/>
                <w:tag w:val="teacher_accept_1_0"/>
                <w:alias w:val="teacher_accept_1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Acceptable  </w:t>
            </w:r>
          </w:p>
          <w:p>
            <w:pPr>
              <w:spacing w:after="0" w:line="240" w:lineRule="auto"/>
            </w:pPr>
            <w:sdt>
              <w:sdtPr>
                <w:id w:val="1348"/>
                <w:tag w:val="teacher_accept_1_1"/>
                <w:alias w:val="teacher_accept_1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Changes needed  </w:t>
            </w:r>
          </w:p>
          <w:p>
            <w:pPr>
              <w:spacing w:after="0" w:line="240" w:lineRule="auto"/>
            </w:pPr>
            <w:sdt>
              <w:sdtPr>
                <w:id w:val="1349"/>
                <w:tag w:val="teacher_accept_1_2"/>
                <w:alias w:val="teacher_accept_1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currently suitable  </w:t>
            </w:r>
          </w:p>
          <w:p>
            <w:pPr>
              <w:spacing w:after="0" w:line="240" w:lineRule="auto"/>
            </w:pPr>
            <w:sdt>
              <w:sdtPr>
                <w:id w:val="1350"/>
                <w:tag w:val="teacher_accept_1_3"/>
                <w:alias w:val="teacher_accept_1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Insufficient evidence  </w:t>
            </w:r>
          </w:p>
        </w:tc>
        <w:tc>
          <w:tcPr>
            <w:tcW w:type="dxa" w:w="3414"/>
            <w:vAlign w:val="center"/>
            <w:tcMar>
              <w:top w:w="40" w:type="dxa"/>
              <w:bottom w:w="40" w:type="dxa"/>
              <w:left w:w="100" w:type="dxa"/>
              <w:right w:w="100" w:type="dxa"/>
            </w:tcMar>
            <w:shd w:fill="FFFFFF"/>
          </w:tcPr>
          <w:p>
            <w:pPr>
              <w:spacing w:line="240" w:lineRule="auto" w:after="0"/>
            </w:pPr>
            <w:r>
              <w:rPr>
                <w:sz w:val="21"/>
                <w:rFonts w:ascii="Arial" w:hAnsi="Arial" w:eastAsia="Arial" w:cs="Arial"/>
                <w:szCs w:val="21"/>
              </w:rPr>
            </w:r>
            <w:r>
              <w:rPr>
                <w:sz w:val="21"/>
                <w:rFonts w:ascii="Arial" w:hAnsi="Arial" w:eastAsia="Arial" w:cs="Arial"/>
                <w:szCs w:val="21"/>
              </w:rPr>
              <w:t xml:space="preserve">Evidence: </w:t>
            </w:r>
            <w:sdt>
              <w:sdtPr>
                <w:id w:val="1351"/>
                <w:tag w:val="teacher_accept_1_basis"/>
                <w:alias w:val="teacher_accept_1_basis"/>
                <w:text w:multiLine="1"/>
              </w:sdtPr>
              <w:sdtContent>
                <w:r>
                  <w:rPr>
                    <w:sz w:val="21"/>
                    <w:rFonts w:eastAsia="Arial" w:ascii="Arial" w:hAnsi="Arial" w:cs="Arial"/>
                    <w:szCs w:val="21"/>
                  </w:rPr>
                  <w:t xml:space="preserve">_______________</w:t>
                </w:r>
              </w:sdtContent>
            </w:sdt>
          </w:p>
          <w:p>
            <w:pPr>
              <w:spacing w:after="0" w:line="240" w:lineRule="auto"/>
            </w:pPr>
            <w:r>
              <w:rPr>
                <w:sz w:val="21"/>
                <w:rFonts w:ascii="Arial" w:hAnsi="Arial" w:eastAsia="Arial" w:cs="Arial"/>
                <w:szCs w:val="21"/>
              </w:rPr>
              <w:t xml:space="preserve">Reason/improvement: </w:t>
            </w:r>
            <w:sdt>
              <w:sdtPr>
                <w:id w:val="1352"/>
                <w:tag w:val="teacher_accept_1_reason"/>
                <w:alias w:val="teacher_accept_1_reason"/>
                <w:text w:multiLine="1"/>
              </w:sdtPr>
              <w:sdtContent>
                <w:r>
                  <w:rPr>
                    <w:sz w:val="21"/>
                    <w:rFonts w:eastAsia="Arial" w:ascii="Arial" w:hAnsi="Arial" w:cs="Arial"/>
                    <w:szCs w:val="21"/>
                  </w:rPr>
                  <w:t xml:space="preserve">___________</w:t>
                </w:r>
              </w:sdtContent>
            </w:sdt>
          </w:p>
        </w:tc>
      </w:tr>
      <w:tr>
        <w:trPr>
          <w:cantSplit/>
        </w:trPr>
        <w:tc>
          <w:tcPr>
            <w:tcW w:type="dxa" w:w="3083"/>
            <w:vAlign w:val="center"/>
            <w:tcMar>
              <w:top w:w="40" w:type="dxa"/>
              <w:bottom w:w="40" w:type="dxa"/>
              <w:left w:w="100" w:type="dxa"/>
              <w:right w:w="100" w:type="dxa"/>
            </w:tcMar>
            <w:shd w:fill="F4F6F8"/>
          </w:tcPr>
          <w:p>
            <w:pPr>
              <w:spacing w:line="240" w:lineRule="auto" w:after="0"/>
            </w:pPr>
            <w:r>
              <w:rPr>
                <w:sz w:val="21"/>
                <w:rFonts w:ascii="Arial" w:hAnsi="Arial" w:eastAsia="Arial" w:cs="Arial"/>
                <w:szCs w:val="21"/>
              </w:rPr>
              <w:t>2 Are the AI doctor or patient roles suitable for formative practice?</w:t>
            </w:r>
          </w:p>
        </w:tc>
        <w:tc>
          <w:tcPr>
            <w:tcW w:type="dxa" w:w="2863"/>
            <w:vAlign w:val="center"/>
            <w:tcMar>
              <w:top w:w="40" w:type="dxa"/>
              <w:bottom w:w="40" w:type="dxa"/>
              <w:left w:w="100" w:type="dxa"/>
              <w:right w:w="100" w:type="dxa"/>
            </w:tcMar>
            <w:shd w:fill="F4F6F8"/>
          </w:tcPr>
          <w:p>
            <w:pPr>
              <w:spacing w:line="240" w:lineRule="auto" w:after="0"/>
            </w:pPr>
            <w:r>
              <w:rPr>
                <w:sz w:val="21"/>
                <w:rFonts w:ascii="Arial" w:hAnsi="Arial" w:eastAsia="Arial" w:cs="Arial"/>
                <w:szCs w:val="21"/>
              </w:rPr>
            </w:r>
            <w:sdt>
              <w:sdtPr>
                <w:id w:val="1353"/>
                <w:tag w:val="teacher_accept_2_0"/>
                <w:alias w:val="teacher_accept_2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Acceptable  </w:t>
            </w:r>
          </w:p>
          <w:p>
            <w:pPr>
              <w:spacing w:after="0" w:line="240" w:lineRule="auto"/>
            </w:pPr>
            <w:sdt>
              <w:sdtPr>
                <w:id w:val="1354"/>
                <w:tag w:val="teacher_accept_2_1"/>
                <w:alias w:val="teacher_accept_2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Changes needed  </w:t>
            </w:r>
          </w:p>
          <w:p>
            <w:pPr>
              <w:spacing w:after="0" w:line="240" w:lineRule="auto"/>
            </w:pPr>
            <w:sdt>
              <w:sdtPr>
                <w:id w:val="1355"/>
                <w:tag w:val="teacher_accept_2_2"/>
                <w:alias w:val="teacher_accept_2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currently suitable  </w:t>
            </w:r>
          </w:p>
          <w:p>
            <w:pPr>
              <w:spacing w:after="0" w:line="240" w:lineRule="auto"/>
            </w:pPr>
            <w:sdt>
              <w:sdtPr>
                <w:id w:val="1356"/>
                <w:tag w:val="teacher_accept_2_3"/>
                <w:alias w:val="teacher_accept_2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Insufficient evidence  </w:t>
            </w:r>
          </w:p>
        </w:tc>
        <w:tc>
          <w:tcPr>
            <w:tcW w:type="dxa" w:w="3414"/>
            <w:vAlign w:val="center"/>
            <w:tcMar>
              <w:top w:w="40" w:type="dxa"/>
              <w:bottom w:w="40" w:type="dxa"/>
              <w:left w:w="100" w:type="dxa"/>
              <w:right w:w="100" w:type="dxa"/>
            </w:tcMar>
            <w:shd w:fill="F4F6F8"/>
          </w:tcPr>
          <w:p>
            <w:pPr>
              <w:spacing w:line="240" w:lineRule="auto" w:after="0"/>
            </w:pPr>
            <w:r>
              <w:rPr>
                <w:sz w:val="21"/>
                <w:rFonts w:ascii="Arial" w:hAnsi="Arial" w:eastAsia="Arial" w:cs="Arial"/>
                <w:szCs w:val="21"/>
              </w:rPr>
            </w:r>
            <w:r>
              <w:rPr>
                <w:sz w:val="21"/>
                <w:rFonts w:ascii="Arial" w:hAnsi="Arial" w:eastAsia="Arial" w:cs="Arial"/>
                <w:szCs w:val="21"/>
              </w:rPr>
              <w:t xml:space="preserve">Evidence: </w:t>
            </w:r>
            <w:sdt>
              <w:sdtPr>
                <w:id w:val="1357"/>
                <w:tag w:val="teacher_accept_2_basis"/>
                <w:alias w:val="teacher_accept_2_basis"/>
                <w:text w:multiLine="1"/>
              </w:sdtPr>
              <w:sdtContent>
                <w:r>
                  <w:rPr>
                    <w:sz w:val="21"/>
                    <w:rFonts w:eastAsia="Arial" w:ascii="Arial" w:hAnsi="Arial" w:cs="Arial"/>
                    <w:szCs w:val="21"/>
                  </w:rPr>
                  <w:t xml:space="preserve">_______________</w:t>
                </w:r>
              </w:sdtContent>
            </w:sdt>
          </w:p>
          <w:p>
            <w:pPr>
              <w:spacing w:after="0" w:line="240" w:lineRule="auto"/>
            </w:pPr>
            <w:r>
              <w:rPr>
                <w:sz w:val="21"/>
                <w:rFonts w:ascii="Arial" w:hAnsi="Arial" w:eastAsia="Arial" w:cs="Arial"/>
                <w:szCs w:val="21"/>
              </w:rPr>
              <w:t xml:space="preserve">Reason/improvement: </w:t>
            </w:r>
            <w:sdt>
              <w:sdtPr>
                <w:id w:val="1358"/>
                <w:tag w:val="teacher_accept_2_reason"/>
                <w:alias w:val="teacher_accept_2_reason"/>
                <w:text w:multiLine="1"/>
              </w:sdtPr>
              <w:sdtContent>
                <w:r>
                  <w:rPr>
                    <w:sz w:val="21"/>
                    <w:rFonts w:eastAsia="Arial" w:ascii="Arial" w:hAnsi="Arial" w:cs="Arial"/>
                    <w:szCs w:val="21"/>
                  </w:rPr>
                  <w:t xml:space="preserve">___________</w:t>
                </w:r>
              </w:sdtContent>
            </w:sdt>
          </w:p>
        </w:tc>
      </w:tr>
      <w:tr>
        <w:trPr>
          <w:cantSplit/>
        </w:trPr>
        <w:tc>
          <w:tcPr>
            <w:tcW w:type="dxa" w:w="3083"/>
            <w:vAlign w:val="center"/>
            <w:tcMar>
              <w:top w:w="40" w:type="dxa"/>
              <w:bottom w:w="40" w:type="dxa"/>
              <w:left w:w="100" w:type="dxa"/>
              <w:right w:w="100" w:type="dxa"/>
            </w:tcMar>
            <w:shd w:fill="FFFFFF"/>
          </w:tcPr>
          <w:p>
            <w:pPr>
              <w:spacing w:line="240" w:lineRule="auto" w:after="0"/>
            </w:pPr>
            <w:r>
              <w:rPr>
                <w:sz w:val="21"/>
                <w:rFonts w:ascii="Arial" w:hAnsi="Arial" w:eastAsia="Arial" w:cs="Arial"/>
                <w:szCs w:val="21"/>
              </w:rPr>
              <w:t>3 Can system assessments support feedback under faculty supervision?</w:t>
            </w:r>
          </w:p>
        </w:tc>
        <w:tc>
          <w:tcPr>
            <w:tcW w:type="dxa" w:w="2863"/>
            <w:vAlign w:val="center"/>
            <w:tcMar>
              <w:top w:w="40" w:type="dxa"/>
              <w:bottom w:w="40" w:type="dxa"/>
              <w:left w:w="100" w:type="dxa"/>
              <w:right w:w="100" w:type="dxa"/>
            </w:tcMar>
            <w:shd w:fill="FFFFFF"/>
          </w:tcPr>
          <w:p>
            <w:pPr>
              <w:spacing w:line="240" w:lineRule="auto" w:after="0"/>
            </w:pPr>
            <w:r>
              <w:rPr>
                <w:sz w:val="21"/>
                <w:rFonts w:ascii="Arial" w:hAnsi="Arial" w:eastAsia="Arial" w:cs="Arial"/>
                <w:szCs w:val="21"/>
              </w:rPr>
            </w:r>
            <w:sdt>
              <w:sdtPr>
                <w:id w:val="1359"/>
                <w:tag w:val="teacher_accept_3_0"/>
                <w:alias w:val="teacher_accept_3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Acceptable  </w:t>
            </w:r>
          </w:p>
          <w:p>
            <w:pPr>
              <w:spacing w:after="0" w:line="240" w:lineRule="auto"/>
            </w:pPr>
            <w:sdt>
              <w:sdtPr>
                <w:id w:val="1360"/>
                <w:tag w:val="teacher_accept_3_1"/>
                <w:alias w:val="teacher_accept_3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Changes needed  </w:t>
            </w:r>
          </w:p>
          <w:p>
            <w:pPr>
              <w:spacing w:after="0" w:line="240" w:lineRule="auto"/>
            </w:pPr>
            <w:sdt>
              <w:sdtPr>
                <w:id w:val="1361"/>
                <w:tag w:val="teacher_accept_3_2"/>
                <w:alias w:val="teacher_accept_3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currently suitable  </w:t>
            </w:r>
          </w:p>
          <w:p>
            <w:pPr>
              <w:spacing w:after="0" w:line="240" w:lineRule="auto"/>
            </w:pPr>
            <w:sdt>
              <w:sdtPr>
                <w:id w:val="1362"/>
                <w:tag w:val="teacher_accept_3_3"/>
                <w:alias w:val="teacher_accept_3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Insufficient evidence  </w:t>
            </w:r>
          </w:p>
        </w:tc>
        <w:tc>
          <w:tcPr>
            <w:tcW w:type="dxa" w:w="3414"/>
            <w:vAlign w:val="center"/>
            <w:tcMar>
              <w:top w:w="40" w:type="dxa"/>
              <w:bottom w:w="40" w:type="dxa"/>
              <w:left w:w="100" w:type="dxa"/>
              <w:right w:w="100" w:type="dxa"/>
            </w:tcMar>
            <w:shd w:fill="FFFFFF"/>
          </w:tcPr>
          <w:p>
            <w:pPr>
              <w:spacing w:line="240" w:lineRule="auto" w:after="0"/>
            </w:pPr>
            <w:r>
              <w:rPr>
                <w:sz w:val="21"/>
                <w:rFonts w:ascii="Arial" w:hAnsi="Arial" w:eastAsia="Arial" w:cs="Arial"/>
                <w:szCs w:val="21"/>
              </w:rPr>
            </w:r>
            <w:r>
              <w:rPr>
                <w:sz w:val="21"/>
                <w:rFonts w:ascii="Arial" w:hAnsi="Arial" w:eastAsia="Arial" w:cs="Arial"/>
                <w:szCs w:val="21"/>
              </w:rPr>
              <w:t xml:space="preserve">Evidence: </w:t>
            </w:r>
            <w:sdt>
              <w:sdtPr>
                <w:id w:val="1363"/>
                <w:tag w:val="teacher_accept_3_basis"/>
                <w:alias w:val="teacher_accept_3_basis"/>
                <w:text w:multiLine="1"/>
              </w:sdtPr>
              <w:sdtContent>
                <w:r>
                  <w:rPr>
                    <w:sz w:val="21"/>
                    <w:rFonts w:eastAsia="Arial" w:ascii="Arial" w:hAnsi="Arial" w:cs="Arial"/>
                    <w:szCs w:val="21"/>
                  </w:rPr>
                  <w:t xml:space="preserve">_______________</w:t>
                </w:r>
              </w:sdtContent>
            </w:sdt>
          </w:p>
          <w:p>
            <w:pPr>
              <w:spacing w:after="0" w:line="240" w:lineRule="auto"/>
            </w:pPr>
            <w:r>
              <w:rPr>
                <w:sz w:val="21"/>
                <w:rFonts w:ascii="Arial" w:hAnsi="Arial" w:eastAsia="Arial" w:cs="Arial"/>
                <w:szCs w:val="21"/>
              </w:rPr>
              <w:t xml:space="preserve">Reason/improvement: </w:t>
            </w:r>
            <w:sdt>
              <w:sdtPr>
                <w:id w:val="1364"/>
                <w:tag w:val="teacher_accept_3_reason"/>
                <w:alias w:val="teacher_accept_3_reason"/>
                <w:text w:multiLine="1"/>
              </w:sdtPr>
              <w:sdtContent>
                <w:r>
                  <w:rPr>
                    <w:sz w:val="21"/>
                    <w:rFonts w:eastAsia="Arial" w:ascii="Arial" w:hAnsi="Arial" w:cs="Arial"/>
                    <w:szCs w:val="21"/>
                  </w:rPr>
                  <w:t xml:space="preserve">___________</w:t>
                </w:r>
              </w:sdtContent>
            </w:sdt>
          </w:p>
        </w:tc>
      </w:tr>
      <w:tr>
        <w:trPr>
          <w:cantSplit/>
        </w:trPr>
        <w:tc>
          <w:tcPr>
            <w:tcW w:type="dxa" w:w="3083"/>
            <w:vAlign w:val="center"/>
            <w:tcMar>
              <w:top w:w="40" w:type="dxa"/>
              <w:bottom w:w="40" w:type="dxa"/>
              <w:left w:w="100" w:type="dxa"/>
              <w:right w:w="100" w:type="dxa"/>
            </w:tcMar>
            <w:shd w:fill="F4F6F8"/>
          </w:tcPr>
          <w:p>
            <w:pPr>
              <w:spacing w:line="240" w:lineRule="auto" w:after="0"/>
            </w:pPr>
            <w:r>
              <w:rPr>
                <w:sz w:val="21"/>
                <w:rFonts w:ascii="Arial" w:hAnsi="Arial" w:eastAsia="Arial" w:cs="Arial"/>
                <w:szCs w:val="21"/>
              </w:rPr>
              <w:t>4 Have critical safety issues or system interference been handled appropriately?</w:t>
            </w:r>
          </w:p>
        </w:tc>
        <w:tc>
          <w:tcPr>
            <w:tcW w:type="dxa" w:w="2863"/>
            <w:vAlign w:val="center"/>
            <w:tcMar>
              <w:top w:w="40" w:type="dxa"/>
              <w:bottom w:w="40" w:type="dxa"/>
              <w:left w:w="100" w:type="dxa"/>
              <w:right w:w="100" w:type="dxa"/>
            </w:tcMar>
            <w:shd w:fill="F4F6F8"/>
          </w:tcPr>
          <w:p>
            <w:pPr>
              <w:spacing w:line="240" w:lineRule="auto" w:after="0"/>
            </w:pPr>
            <w:r>
              <w:rPr>
                <w:sz w:val="21"/>
                <w:rFonts w:ascii="Arial" w:hAnsi="Arial" w:eastAsia="Arial" w:cs="Arial"/>
                <w:szCs w:val="21"/>
              </w:rPr>
            </w:r>
            <w:sdt>
              <w:sdtPr>
                <w:id w:val="1365"/>
                <w:tag w:val="teacher_accept_4_0"/>
                <w:alias w:val="teacher_accept_4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Acceptable  </w:t>
            </w:r>
          </w:p>
          <w:p>
            <w:pPr>
              <w:spacing w:after="0" w:line="240" w:lineRule="auto"/>
            </w:pPr>
            <w:sdt>
              <w:sdtPr>
                <w:id w:val="1366"/>
                <w:tag w:val="teacher_accept_4_1"/>
                <w:alias w:val="teacher_accept_4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Changes needed  </w:t>
            </w:r>
          </w:p>
          <w:p>
            <w:pPr>
              <w:spacing w:after="0" w:line="240" w:lineRule="auto"/>
            </w:pPr>
            <w:sdt>
              <w:sdtPr>
                <w:id w:val="1367"/>
                <w:tag w:val="teacher_accept_4_2"/>
                <w:alias w:val="teacher_accept_4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currently suitable  </w:t>
            </w:r>
          </w:p>
          <w:p>
            <w:pPr>
              <w:spacing w:after="0" w:line="240" w:lineRule="auto"/>
            </w:pPr>
            <w:sdt>
              <w:sdtPr>
                <w:id w:val="1368"/>
                <w:tag w:val="teacher_accept_4_3"/>
                <w:alias w:val="teacher_accept_4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Insufficient evidence  </w:t>
            </w:r>
          </w:p>
        </w:tc>
        <w:tc>
          <w:tcPr>
            <w:tcW w:type="dxa" w:w="3414"/>
            <w:vAlign w:val="center"/>
            <w:tcMar>
              <w:top w:w="40" w:type="dxa"/>
              <w:bottom w:w="40" w:type="dxa"/>
              <w:left w:w="100" w:type="dxa"/>
              <w:right w:w="100" w:type="dxa"/>
            </w:tcMar>
            <w:shd w:fill="F4F6F8"/>
          </w:tcPr>
          <w:p>
            <w:pPr>
              <w:spacing w:line="240" w:lineRule="auto" w:after="0"/>
            </w:pPr>
            <w:r>
              <w:rPr>
                <w:sz w:val="21"/>
                <w:rFonts w:ascii="Arial" w:hAnsi="Arial" w:eastAsia="Arial" w:cs="Arial"/>
                <w:szCs w:val="21"/>
              </w:rPr>
            </w:r>
            <w:r>
              <w:rPr>
                <w:sz w:val="21"/>
                <w:rFonts w:ascii="Arial" w:hAnsi="Arial" w:eastAsia="Arial" w:cs="Arial"/>
                <w:szCs w:val="21"/>
              </w:rPr>
              <w:t xml:space="preserve">Evidence: </w:t>
            </w:r>
            <w:sdt>
              <w:sdtPr>
                <w:id w:val="1369"/>
                <w:tag w:val="teacher_accept_4_basis"/>
                <w:alias w:val="teacher_accept_4_basis"/>
                <w:text w:multiLine="1"/>
              </w:sdtPr>
              <w:sdtContent>
                <w:r>
                  <w:rPr>
                    <w:sz w:val="21"/>
                    <w:rFonts w:eastAsia="Arial" w:ascii="Arial" w:hAnsi="Arial" w:cs="Arial"/>
                    <w:szCs w:val="21"/>
                  </w:rPr>
                  <w:t xml:space="preserve">_______________</w:t>
                </w:r>
              </w:sdtContent>
            </w:sdt>
          </w:p>
          <w:p>
            <w:pPr>
              <w:spacing w:after="0" w:line="240" w:lineRule="auto"/>
            </w:pPr>
            <w:r>
              <w:rPr>
                <w:sz w:val="21"/>
                <w:rFonts w:ascii="Arial" w:hAnsi="Arial" w:eastAsia="Arial" w:cs="Arial"/>
                <w:szCs w:val="21"/>
              </w:rPr>
              <w:t xml:space="preserve">Reason/improvement: </w:t>
            </w:r>
            <w:sdt>
              <w:sdtPr>
                <w:id w:val="1370"/>
                <w:tag w:val="teacher_accept_4_reason"/>
                <w:alias w:val="teacher_accept_4_reason"/>
                <w:text w:multiLine="1"/>
              </w:sdtPr>
              <w:sdtContent>
                <w:r>
                  <w:rPr>
                    <w:sz w:val="21"/>
                    <w:rFonts w:eastAsia="Arial" w:ascii="Arial" w:hAnsi="Arial" w:cs="Arial"/>
                    <w:szCs w:val="21"/>
                  </w:rPr>
                  <w:t xml:space="preserve">___________</w:t>
                </w:r>
              </w:sdtContent>
            </w:sdt>
          </w:p>
        </w:tc>
      </w:tr>
      <w:tr>
        <w:trPr>
          <w:cantSplit/>
        </w:trPr>
        <w:tc>
          <w:tcPr>
            <w:tcW w:type="dxa" w:w="3083"/>
            <w:vAlign w:val="center"/>
            <w:tcMar>
              <w:top w:w="40" w:type="dxa"/>
              <w:bottom w:w="40" w:type="dxa"/>
              <w:left w:w="100" w:type="dxa"/>
              <w:right w:w="100" w:type="dxa"/>
            </w:tcMar>
            <w:shd w:fill="FFFFFF"/>
          </w:tcPr>
          <w:p>
            <w:pPr>
              <w:spacing w:line="240" w:lineRule="auto" w:after="0"/>
            </w:pPr>
            <w:r>
              <w:rPr>
                <w:sz w:val="21"/>
                <w:rFonts w:ascii="Arial" w:hAnsi="Arial" w:eastAsia="Arial" w:cs="Arial"/>
                <w:szCs w:val="21"/>
              </w:rPr>
              <w:t>5 Is the proposed scope of use appropriate against the faculty's requirements for human OSCEs?</w:t>
            </w:r>
          </w:p>
        </w:tc>
        <w:tc>
          <w:tcPr>
            <w:tcW w:type="dxa" w:w="2863"/>
            <w:vAlign w:val="center"/>
            <w:tcMar>
              <w:top w:w="40" w:type="dxa"/>
              <w:bottom w:w="40" w:type="dxa"/>
              <w:left w:w="100" w:type="dxa"/>
              <w:right w:w="100" w:type="dxa"/>
            </w:tcMar>
            <w:shd w:fill="FFFFFF"/>
          </w:tcPr>
          <w:p>
            <w:pPr>
              <w:spacing w:line="240" w:lineRule="auto" w:after="0"/>
            </w:pPr>
            <w:r>
              <w:rPr>
                <w:sz w:val="21"/>
                <w:rFonts w:ascii="Arial" w:hAnsi="Arial" w:eastAsia="Arial" w:cs="Arial"/>
                <w:szCs w:val="21"/>
              </w:rPr>
            </w:r>
            <w:sdt>
              <w:sdtPr>
                <w:id w:val="1371"/>
                <w:tag w:val="teacher_accept_5_0"/>
                <w:alias w:val="teacher_accept_5_0"/>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Acceptable  </w:t>
            </w:r>
          </w:p>
          <w:p>
            <w:pPr>
              <w:spacing w:after="0" w:line="240" w:lineRule="auto"/>
            </w:pPr>
            <w:sdt>
              <w:sdtPr>
                <w:id w:val="1372"/>
                <w:tag w:val="teacher_accept_5_1"/>
                <w:alias w:val="teacher_accept_5_1"/>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Changes needed  </w:t>
            </w:r>
          </w:p>
          <w:p>
            <w:pPr>
              <w:spacing w:after="0" w:line="240" w:lineRule="auto"/>
            </w:pPr>
            <w:sdt>
              <w:sdtPr>
                <w:id w:val="1373"/>
                <w:tag w:val="teacher_accept_5_2"/>
                <w:alias w:val="teacher_accept_5_2"/>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Not currently suitable  </w:t>
            </w:r>
          </w:p>
          <w:p>
            <w:pPr>
              <w:spacing w:after="0" w:line="240" w:lineRule="auto"/>
            </w:pPr>
            <w:sdt>
              <w:sdtPr>
                <w:id w:val="1374"/>
                <w:tag w:val="teacher_accept_5_3"/>
                <w:alias w:val="teacher_accept_5_3"/>
                <w14:checkbox>
                  <w14:checked w14:val="0"/>
                  <w14:checkedState w14:val="2612" w14:font="MS Gothic"/>
                  <w14:uncheckedState w14:val="2610" w14:font="MS Gothic"/>
                </w14:checkbox>
              </w:sdtPr>
              <w:sdtContent>
                <w:r>
                  <w:rPr>
                    <w:sz w:val="21"/>
                    <w:rFonts w:eastAsia="Arial" w:ascii="Arial" w:hAnsi="Arial" w:cs="Arial"/>
                    <w:szCs w:val="21"/>
                  </w:rPr>
                  <w:t xml:space="preserve">☐</w:t>
                </w:r>
              </w:sdtContent>
            </w:sdt>
            <w:r>
              <w:rPr>
                <w:sz w:val="21"/>
                <w:rFonts w:ascii="Arial" w:hAnsi="Arial" w:eastAsia="Arial" w:cs="Arial"/>
                <w:szCs w:val="21"/>
              </w:rPr>
              <w:t xml:space="preserve"> Insufficient evidence  </w:t>
            </w:r>
          </w:p>
        </w:tc>
        <w:tc>
          <w:tcPr>
            <w:tcW w:type="dxa" w:w="3414"/>
            <w:vAlign w:val="center"/>
            <w:tcMar>
              <w:top w:w="40" w:type="dxa"/>
              <w:bottom w:w="40" w:type="dxa"/>
              <w:left w:w="100" w:type="dxa"/>
              <w:right w:w="100" w:type="dxa"/>
            </w:tcMar>
            <w:shd w:fill="FFFFFF"/>
          </w:tcPr>
          <w:p>
            <w:pPr>
              <w:spacing w:line="240" w:lineRule="auto" w:after="0"/>
            </w:pPr>
            <w:r>
              <w:rPr>
                <w:sz w:val="21"/>
                <w:rFonts w:ascii="Arial" w:hAnsi="Arial" w:eastAsia="Arial" w:cs="Arial"/>
                <w:szCs w:val="21"/>
              </w:rPr>
            </w:r>
            <w:r>
              <w:rPr>
                <w:sz w:val="21"/>
                <w:rFonts w:ascii="Arial" w:hAnsi="Arial" w:eastAsia="Arial" w:cs="Arial"/>
                <w:szCs w:val="21"/>
              </w:rPr>
              <w:t xml:space="preserve">Evidence: </w:t>
            </w:r>
            <w:sdt>
              <w:sdtPr>
                <w:id w:val="1375"/>
                <w:tag w:val="teacher_accept_5_basis"/>
                <w:alias w:val="teacher_accept_5_basis"/>
                <w:text w:multiLine="1"/>
              </w:sdtPr>
              <w:sdtContent>
                <w:r>
                  <w:rPr>
                    <w:sz w:val="21"/>
                    <w:rFonts w:eastAsia="Arial" w:ascii="Arial" w:hAnsi="Arial" w:cs="Arial"/>
                    <w:szCs w:val="21"/>
                  </w:rPr>
                  <w:t xml:space="preserve">_______________</w:t>
                </w:r>
              </w:sdtContent>
            </w:sdt>
          </w:p>
          <w:p>
            <w:pPr>
              <w:spacing w:after="0" w:line="240" w:lineRule="auto"/>
            </w:pPr>
            <w:r>
              <w:rPr>
                <w:sz w:val="21"/>
                <w:rFonts w:ascii="Arial" w:hAnsi="Arial" w:eastAsia="Arial" w:cs="Arial"/>
                <w:szCs w:val="21"/>
              </w:rPr>
              <w:t xml:space="preserve">Reason/improvement: </w:t>
            </w:r>
            <w:sdt>
              <w:sdtPr>
                <w:id w:val="1376"/>
                <w:tag w:val="teacher_accept_5_reason"/>
                <w:alias w:val="teacher_accept_5_reason"/>
                <w:text w:multiLine="1"/>
              </w:sdtPr>
              <w:sdtContent>
                <w:r>
                  <w:rPr>
                    <w:sz w:val="21"/>
                    <w:rFonts w:eastAsia="Arial" w:ascii="Arial" w:hAnsi="Arial" w:cs="Arial"/>
                    <w:szCs w:val="21"/>
                  </w:rPr>
                  <w:t xml:space="preserve">___________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05"/>
        <w:gridCol w:w="4955"/>
      </w:tblGrid>
      <w:tr>
        <w:trPr>
          <w:cantSplit/>
          <w:tblHeader/>
        </w:trPr>
        <w:tc>
          <w:tcPr>
            <w:tcW w:type="dxa" w:w="4405"/>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Existing faculty quality standards applicable to this study</w:t>
            </w:r>
          </w:p>
        </w:tc>
        <w:tc>
          <w:tcPr>
            <w:tcW w:type="dxa" w:w="4955"/>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Specific thresholds or unacceptable situations</w:t>
            </w:r>
          </w:p>
        </w:tc>
      </w:tr>
      <w:tr>
        <w:trPr>
          <w:cantSplit/>
        </w:trPr>
        <w:tc>
          <w:tcPr>
            <w:tcW w:type="dxa" w:w="4405"/>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377"/>
                <w:tag w:val="teacher_existing_standard"/>
                <w:alias w:val="teacher_existing_standard"/>
                <w:text w:multiLine="1"/>
              </w:sdtPr>
              <w:sdtContent>
                <w:r>
                  <w:rPr>
                    <w:sz w:val="21"/>
                    <w:rFonts w:eastAsia="Arial" w:ascii="Arial" w:hAnsi="Arial" w:cs="Arial"/>
                    <w:szCs w:val="21"/>
                  </w:rPr>
                  <w:t xml:space="preserve">__________________</w:t>
                </w:r>
              </w:sdtContent>
            </w:sdt>
          </w:p>
        </w:tc>
        <w:tc>
          <w:tcPr>
            <w:tcW w:type="dxa" w:w="4955"/>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378"/>
                <w:tag w:val="teacher_existing_threshold"/>
                <w:alias w:val="teacher_existing_threshold"/>
                <w:text w:multiLine="1"/>
              </w:sdtPr>
              <w:sdtContent>
                <w:r>
                  <w:rPr>
                    <w:sz w:val="21"/>
                    <w:rFonts w:eastAsia="Arial" w:ascii="Arial" w:hAnsi="Arial" w:cs="Arial"/>
                    <w:szCs w:val="21"/>
                  </w:rPr>
                  <w:t xml:space="preserve">__________________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tbl>
      <w:tblPr>
        <w:tblW w:type="dxa" w:w="936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0"/>
      </w:tblGrid>
      <w:tr>
        <w:trPr>
          <w:cantSplit/>
          <w:tblHeader/>
        </w:trPr>
        <w:tc>
          <w:tcPr>
            <w:tcW w:type="dxa" w:w="9360"/>
            <w:vAlign w:val="center"/>
            <w:tcMar>
              <w:top w:w="100" w:type="dxa"/>
              <w:bottom w:w="100" w:type="dxa"/>
              <w:left w:w="100" w:type="dxa"/>
              <w:right w:w="100" w:type="dxa"/>
            </w:tcMar>
            <w:shd w:fill="E9EEF2"/>
          </w:tcPr>
          <w:p>
            <w:pPr>
              <w:keepNext/>
              <w:spacing w:line="246" w:lineRule="auto" w:after="30"/>
            </w:pPr>
            <w:r>
              <w:rPr>
                <w:b/>
                <w:color w:val="000000"/>
                <w:sz w:val="21"/>
                <w:rFonts w:ascii="Arial" w:hAnsi="Arial" w:eastAsia="Arial" w:cs="Arial"/>
                <w:szCs w:val="21"/>
              </w:rPr>
              <w:t>Recommended uses and decisions requiring human verification</w:t>
            </w:r>
          </w:p>
        </w:tc>
      </w:tr>
      <w:tr>
        <w:trPr>
          <w:cantSplit/>
        </w:trPr>
        <w:tc>
          <w:tcPr>
            <w:tcW w:type="dxa" w:w="9360"/>
            <w:vAlign w:val="center"/>
            <w:tcMar>
              <w:top w:w="100" w:type="dxa"/>
              <w:bottom w:w="100" w:type="dxa"/>
              <w:left w:w="100" w:type="dxa"/>
              <w:right w:w="100" w:type="dxa"/>
            </w:tcMar>
            <w:shd w:fill="FFFFFF"/>
          </w:tcPr>
          <w:p>
            <w:pPr>
              <w:spacing w:line="246" w:lineRule="auto" w:after="30"/>
            </w:pPr>
            <w:r>
              <w:rPr>
                <w:sz w:val="21"/>
                <w:rFonts w:ascii="Arial" w:hAnsi="Arial" w:eastAsia="Arial" w:cs="Arial"/>
                <w:szCs w:val="21"/>
              </w:rPr>
            </w:r>
            <w:sdt>
              <w:sdtPr>
                <w:id w:val="1379"/>
                <w:tag w:val="teacher_use_scope"/>
                <w:alias w:val="teacher_use_scope"/>
                <w:text w:multiLine="1"/>
              </w:sdtPr>
              <w:sdtContent>
                <w:r>
                  <w:rPr>
                    <w:sz w:val="21"/>
                    <w:rFonts w:eastAsia="Arial" w:ascii="Arial" w:hAnsi="Arial" w:cs="Arial"/>
                    <w:szCs w:val="21"/>
                  </w:rPr>
                  <w:t xml:space="preserve">__________________</w:t>
                </w:r>
              </w:sdtContent>
            </w:sdt>
          </w:p>
        </w:tc>
      </w:tr>
    </w:tbl>
    <w:p>
      <w:pPr>
        <w:spacing w:after="60" w:line="20" w:lineRule="exact"/>
        <w:rPr>
          <w:sz w:val="2"/>
        </w:rPr>
      </w:pPr>
      <w:r>
        <w:rPr>
          <w:rFonts w:ascii="Arial" w:hAnsi="Arial" w:eastAsia="Arial" w:cs="Arial"/>
          <w:sz w:val="21"/>
          <w:szCs w:val="21"/>
        </w:rPr>
      </w:r>
      <w:r>
        <w:rPr>
          <w:sz w:val="21"/>
          <w:rFonts w:ascii="Arial" w:hAnsi="Arial" w:eastAsia="Arial" w:cs="Arial"/>
          <w:szCs w:val="21"/>
        </w:rPr>
      </w:r>
    </w:p>
    <w:p>
      <w:pPr>
        <w:spacing w:line="246" w:lineRule="auto" w:after="80"/>
      </w:pPr>
      <w:r>
        <w:rPr>
          <w:rFonts w:ascii="Arial" w:hAnsi="Arial" w:eastAsia="Arial" w:cs="Arial"/>
          <w:sz w:val="21"/>
          <w:szCs w:val="21"/>
        </w:rPr>
        <w:t>Report the comments and issue counts directly; do not convert one assessor's five judgements into an 'expert pass percentage'. Whether the system meets requirements depends on the agreed School standards, complete data and intended use. This form records educational judgement and its rationale.</w:t>
      </w:r>
    </w:p>
    <w:sectPr w:rsidR="00FC693F" w:rsidRPr="0006063C" w:rsidSect="00034616">
      <w:footerReference w:type="default" r:id="rId10"/>
      <w:cols w:space="720"/>
      <w:docGrid w:linePitch="360"/>
      <w:pgSz w:h="15840" w:w="12240" w:orient="portrait"/>
      <w:pgMar w:bottom="1440" w:top="1440" w:left="1440" w:right="1440" w:header="720" w:footer="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Arial" w:hAnsi="Arial" w:eastAsia="Arial"/>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sz w:val="18"/>
        <w:rFonts w:ascii="Arial" w:hAnsi="Arial" w:eastAsia="Arial"/>
      </w:rPr>
      <w:t>CUHK Pharmacy AI OSCE Study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cs="Arial" w:eastAsia="Arial"/>
      <w:sz w:val="24"/>
      <w:szCs w:val="24"/>
      <w:color w:val="000000"/>
      <w:b w:val="0"/>
    </w:rPr>
    <w:pPr>
      <w:spacing w:line="276" w:lineRule="auto" w:after="120" w:before="0"/>
    </w:pPr>
  </w:style>
  <w:style w:type="paragraph" w:styleId="Heading1">
    <w:name w:val="heading 1"/>
    <w:basedOn w:val="Normal"/>
    <w:next w:val="Normal"/>
    <w:pPr>
      <w:keepNext w:val="1"/>
      <w:keepLines w:val="1"/>
      <w:pageBreakBefore w:val="0"/>
      <w:spacing w:line="276" w:lineRule="auto" w:after="80" w:before="180"/>
    </w:pPr>
    <w:rPr>
      <w:sz w:val="26"/>
      <w:szCs w:val="26"/>
      <w:rFonts w:ascii="Arial" w:hAnsi="Arial" w:cs="Arial" w:eastAsia="Arial"/>
      <w:color w:val="000000"/>
      <w:b w:val="1"/>
    </w:rPr>
  </w:style>
  <w:style w:type="paragraph" w:styleId="Heading2">
    <w:name w:val="heading 2"/>
    <w:basedOn w:val="Normal"/>
    <w:next w:val="Normal"/>
    <w:pPr>
      <w:keepNext w:val="1"/>
      <w:keepLines w:val="1"/>
      <w:pageBreakBefore w:val="0"/>
      <w:spacing w:line="276" w:lineRule="auto" w:after="80" w:before="180"/>
    </w:pPr>
    <w:rPr>
      <w:b w:val="1"/>
      <w:bCs w:val="0"/>
      <w:sz w:val="24"/>
      <w:szCs w:val="24"/>
      <w:rFonts w:ascii="Arial" w:hAnsi="Arial" w:cs="Arial" w:eastAsia="Arial"/>
      <w:color w:val="000000"/>
    </w:rPr>
  </w:style>
  <w:style w:type="paragraph" w:styleId="Heading3">
    <w:name w:val="heading 3"/>
    <w:basedOn w:val="Normal"/>
    <w:next w:val="Normal"/>
    <w:pPr>
      <w:keepNext w:val="1"/>
      <w:keepLines w:val="1"/>
      <w:pageBreakBefore w:val="0"/>
      <w:spacing w:line="276" w:lineRule="auto" w:after="80" w:before="180"/>
    </w:pPr>
    <w:rPr>
      <w:b w:val="1"/>
      <w:bCs w:val="0"/>
      <w:color w:val="000000"/>
      <w:sz w:val="24"/>
      <w:szCs w:val="24"/>
      <w:rFonts w:ascii="Arial" w:hAnsi="Arial" w:cs="Arial" w:eastAsia="Arial"/>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76" w:lineRule="auto" w:after="120" w:before="0"/>
    </w:pPr>
    <w:rPr>
      <w:sz w:val="24"/>
      <w:szCs w:val="24"/>
      <w:rFonts w:ascii="Arial" w:hAnsi="Arial" w:cs="Arial" w:eastAsia="Arial"/>
      <w:color w:val="000000"/>
      <w:b w:val="1"/>
    </w:rPr>
  </w:style>
  <w:style w:type="paragraph" w:styleId="Subtitle">
    <w:name w:val="Subtitle"/>
    <w:basedOn w:val="Normal"/>
    <w:next w:val="Normal"/>
    <w:pPr>
      <w:keepNext w:val="1"/>
      <w:keepLines w:val="1"/>
      <w:pageBreakBefore w:val="0"/>
      <w:spacing w:line="276" w:lineRule="auto" w:after="120" w:before="0"/>
    </w:pPr>
    <w:rPr>
      <w:rFonts w:ascii="Arial" w:cs="Arial" w:eastAsia="Arial" w:hAnsi="Arial"/>
      <w:i w:val="0"/>
      <w:iCs w:val="0"/>
      <w:color w:val="000000"/>
      <w:sz w:val="22"/>
      <w:szCs w:val="22"/>
      <w:b w:val="0"/>
    </w:rPr>
  </w:style>
  <w:style w:type="table" w:styleId="Table1">
    <w:basedOn w:val="TableNormal"/>
    <w:tblPr>
      <w:tblStyleRowBandSize w:val="1"/>
      <w:tblStyleColBandSize w:val="1"/>
    </w:tbl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宋体"/>
      <w:color w:val="000000"/>
    </w:rPr>
  </w:style>
  <w:style w:type="character" w:customStyle="1" w:styleId="FooterChar">
    <w:name w:val="Footer Char"/>
    <w:basedOn w:val="DefaultParagraphFont"/>
    <w:link w:val="Footer"/>
    <w:uiPriority w:val="99"/>
    <w:rsid w:val="00E618BF"/>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宋体"/>
      <w:i/>
      <w:iCs/>
      <w:color w:val="000000"/>
      <w:sz w:val="20"/>
      <w:szCs w:val="20"/>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宋体"/>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宋体"/>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宋体"/>
      <w:color w:val="000000"/>
    </w:rPr>
  </w:style>
  <w:style w:type="paragraph" w:styleId="List2">
    <w:name w:val="List 2"/>
    <w:basedOn w:val="Normal"/>
    <w:uiPriority w:val="99"/>
    <w:unhideWhenUsed/>
    <w:rsid w:val="00326F90"/>
    <w:pPr>
      <w:ind w:left="720" w:hanging="360"/>
      <w:contextualSpacing/>
    </w:pPr>
    <w:rPr>
      <w:rFonts w:ascii="Times New Roman" w:hAnsi="Times New Roman" w:eastAsia="宋体"/>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宋体"/>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宋体"/>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宋体"/>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宋体"/>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宋体"/>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宋体"/>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宋体"/>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宋体"/>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宋体"/>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80" w:before="0"/>
    </w:pPr>
    <w:rPr>
      <w:rFonts w:ascii="Arial" w:hAnsi="Arial" w:eastAsia="Arial" w:cs="Arial"/>
      <w:b w:val="0"/>
      <w:bCs/>
      <w:color w:val="00000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file:///E:/che/apricot/hoper/CUHK%E9%A1%B9%E7%9B%AE/OneDrive_2026-09-09/Sample%20cases%20Apricot/Drug%20Info%20Case%201%20Fungal%20Toe/DI_Case%201_toe_assessment%20checklist.docx" TargetMode="External"/><Relationship Id="rId14" Type="http://schemas.openxmlformats.org/officeDocument/2006/relationships/hyperlink" Target="file:///E:/che/apricot/hoper/CUHK%E9%A1%B9%E7%9B%AE/OneDrive_2026-09-09/Sample%20cases%20Apricot/Drug%20Info%20Case%202%20Migrane/DI_Case%202_migrane_assessment%20checklist.docx" TargetMode="External"/><Relationship Id="rId15" Type="http://schemas.openxmlformats.org/officeDocument/2006/relationships/hyperlink" Target="file:///E:/che/apricot/hoper/CUHK%E9%A1%B9%E7%9B%AE/OneDrive_2026-09-09/Sample%20cases%20Apricot/Patient%20Drug%20Counselling%20Case%201%20Diruetics/Patient_drug_counselling_Case%201_Diuretics_assessment%20form.docx" TargetMode="External"/><Relationship Id="rId16" Type="http://schemas.openxmlformats.org/officeDocument/2006/relationships/hyperlink" Target="file:///E:/che/apricot/hoper/CUHK%E9%A1%B9%E7%9B%AE/OneDrive_2026-09-09/Sample%20cases%20Apricot/Patient%20Drug%20Counselling%20Case%202%20MTX/Patient_drug_counselling_Case%202_MTX_assessment%20form.docx" TargetMode="External"/><Relationship Id="rId17" Type="http://schemas.openxmlformats.org/officeDocument/2006/relationships/hyperlink" Target="file:///E:/che/apricot/hoper/CUHK%E9%A1%B9%E7%9B%AE/CUHK_Pharmacy_Four_Case_Interpretation_and_Faculty_Confirmations_20260902_YT.pdf#page=13" TargetMode="External"/><Relationship Id="rId18" Type="http://schemas.openxmlformats.org/officeDocument/2006/relationships/hyperlink" Target="file:///E:/che/apricot/hoper/CUHK%E9%A1%B9%E7%9B%AE/Core%20System%20Specification%20Requirements%20-%20Revised%203%20IL_new.docx" TargetMode="External"/><Relationship Id="rId19" Type="http://schemas.openxmlformats.org/officeDocument/2006/relationships/hyperlink" Target="https://doi.org/10.5688/aj7408148" TargetMode="External"/><Relationship Id="rId20" Type="http://schemas.openxmlformats.org/officeDocument/2006/relationships/hyperlink" Target="https://pmc.ncbi.nlm.nih.gov/articles/PMC2987288/" TargetMode="External"/><Relationship Id="rId21" Type="http://schemas.openxmlformats.org/officeDocument/2006/relationships/hyperlink" Target="https://doi.org/10.1186/s41077-017-0043-4" TargetMode="External"/><Relationship Id="rId22" Type="http://schemas.openxmlformats.org/officeDocument/2006/relationships/hyperlink" Target="file:///E:/che/apricot/hoper/CUHK_EDUCON2027_%E8%AE%BA%E6%96%87%E7%A0%94%E7%A9%B6_20260927/Evidence_Graph_Judge_%E8%AE%BA%E6%96%87%E6%96%B9%E6%A1%88_20260930/pdf/original/R01.pdf" TargetMode="External"/><Relationship Id="rId23" Type="http://schemas.openxmlformats.org/officeDocument/2006/relationships/hyperlink" Target="file:///E:/che/apricot/hoper/CUHK_EDUCON2027_%E8%AE%BA%E6%96%87%E7%A0%94%E7%A9%B6_20260927/Evidence_Graph_Judge_%E8%AE%BA%E6%96%87%E6%96%B9%E6%A1%88_20260930/papers/R01.html#evidence-e1" TargetMode="External"/><Relationship Id="rId24" Type="http://schemas.openxmlformats.org/officeDocument/2006/relationships/hyperlink" Target="https://doi.org/10.1016/j.cptl.2025.102503" TargetMode="External"/><Relationship Id="rId25" Type="http://schemas.openxmlformats.org/officeDocument/2006/relationships/hyperlink" Target="file:///E:/che/apricot/hoper/CUHK_EDUCON2027_%E8%AE%BA%E6%96%87%E7%A0%94%E7%A9%B6_20260927/Evidence_Graph_Judge_%E8%AE%BA%E6%96%87%E6%96%B9%E6%A1%88_20260930/pdf/original/R03.pdf" TargetMode="External"/><Relationship Id="rId26" Type="http://schemas.openxmlformats.org/officeDocument/2006/relationships/hyperlink" Target="file:///E:/che/apricot/hoper/CUHK_EDUCON2027_%E8%AE%BA%E6%96%87%E7%A0%94%E7%A9%B6_20260927/Evidence_Graph_Judge_%E8%AE%BA%E6%96%87%E6%96%B9%E6%A1%88_20260930/papers/R03.html#evidence-e1" TargetMode="External"/><Relationship Id="rId27" Type="http://schemas.openxmlformats.org/officeDocument/2006/relationships/hyperlink" Target="https://doi.org/10.1145/3785022.3785092" TargetMode="External"/><Relationship Id="rId28" Type="http://schemas.openxmlformats.org/officeDocument/2006/relationships/hyperlink" Target="file:///E:/che/apricot/hoper/CUHK_EDUCON2027_%E8%AE%BA%E6%96%87%E7%A0%94%E7%A9%B6_20260927/Evidence_Graph_Judge_%E8%AE%BA%E6%96%87%E6%96%B9%E6%A1%88_20260930/pdf/original/R34.pdf" TargetMode="External"/><Relationship Id="rId29" Type="http://schemas.openxmlformats.org/officeDocument/2006/relationships/hyperlink" Target="file:///E:/che/apricot/hoper/CUHK_EDUCON2027_%E8%AE%BA%E6%96%87%E7%A0%94%E7%A9%B6_20260927/Evidence_Graph_Judge_%E8%AE%BA%E6%96%87%E6%96%B9%E6%A1%88_20260930/papers/R34.html#evidence-e1" TargetMode="External"/><Relationship Id="rId30" Type="http://schemas.openxmlformats.org/officeDocument/2006/relationships/hyperlink" Target="https://doi.org/10.1016/j.ajpe.2025.101455" TargetMode="External"/><Relationship Id="rId31" Type="http://schemas.openxmlformats.org/officeDocument/2006/relationships/hyperlink" Target="https://pubmed.ncbi.nlm.nih.gov/40614901/" TargetMode="External"/><Relationship Id="rId32" Type="http://schemas.openxmlformats.org/officeDocument/2006/relationships/hyperlink" Target="https://aclanthology.org/2026.lrec-1.831/" TargetMode="External"/><Relationship Id="rId33" Type="http://schemas.openxmlformats.org/officeDocument/2006/relationships/hyperlink" Target="file:///E:/che/apricot/hoper/CUHK_EDUCON2027_%E8%AE%BA%E6%96%87%E7%A0%94%E7%A9%B6_20260927/Evidence_Graph_Judge_%E8%AE%BA%E6%96%87%E6%96%B9%E6%A1%88_20260930/pdf/original/R14.pdf" TargetMode="External"/><Relationship Id="rId34" Type="http://schemas.openxmlformats.org/officeDocument/2006/relationships/hyperlink" Target="file:///E:/che/apricot/hoper/CUHK_EDUCON2027_%E8%AE%BA%E6%96%87%E7%A0%94%E7%A9%B6_20260927/Evidence_Graph_Judge_%E8%AE%BA%E6%96%87%E6%96%B9%E6%A1%88_20260930/papers/R14.html#evidence-e1" TargetMode="External"/><Relationship Id="rId35" Type="http://schemas.openxmlformats.org/officeDocument/2006/relationships/hyperlink" Target="https://www.accp.com/cmm_care_process" TargetMode="External"/><Relationship Id="rId36" Type="http://schemas.openxmlformats.org/officeDocument/2006/relationships/hyperlink" Target="file:///E:/che/apricot/hoper/CUHK_EDUCON2027_%E8%AE%BA%E6%96%87%E7%A0%94%E7%A9%B6_20260927/Evidence_Graph_Judge_%E8%AE%BA%E6%96%87%E6%96%B9%E6%A1%88_20260930/pdf/original/R23.pdf" TargetMode="External"/><Relationship Id="rId37" Type="http://schemas.openxmlformats.org/officeDocument/2006/relationships/hyperlink" Target="file:///E:/che/apricot/hoper/CUHK_EDUCON2027_%E8%AE%BA%E6%96%87%E7%A0%94%E7%A9%B6_20260927/Evidence_Graph_Judge_%E8%AE%BA%E6%96%87%E6%96%B9%E6%A1%88_20260930/papers/R23.html#evidence-e1" TargetMode="External"/><Relationship Id="rId38" Type="http://schemas.openxmlformats.org/officeDocument/2006/relationships/hyperlink" Target="https://arxiv.org/abs/2608.12097" TargetMode="External"/><Relationship Id="rId39" Type="http://schemas.openxmlformats.org/officeDocument/2006/relationships/hyperlink" Target="file:///E:/che/apricot/hoper/CUHK_EDUCON2027_%E8%AE%BA%E6%96%87%E7%A0%94%E7%A9%B6_20260927/Evidence_Graph_Judge_%E8%AE%BA%E6%96%87%E6%96%B9%E6%A1%88_20260930/pdf/original/R07.pdf" TargetMode="External"/><Relationship Id="rId40" Type="http://schemas.openxmlformats.org/officeDocument/2006/relationships/hyperlink" Target="file:///E:/che/apricot/hoper/CUHK_EDUCON2027_%E8%AE%BA%E6%96%87%E7%A0%94%E7%A9%B6_20260927/Evidence_Graph_Judge_%E8%AE%BA%E6%96%87%E6%96%B9%E6%A1%88_20260930/papers/R07.html#evidence-e1" TargetMode="External"/><Relationship Id="rId41" Type="http://schemas.openxmlformats.org/officeDocument/2006/relationships/hyperlink" Target="https://www.ijcai.org/proceedings/2025/1065" TargetMode="External"/><Relationship Id="rId42" Type="http://schemas.openxmlformats.org/officeDocument/2006/relationships/hyperlink" Target="file:///E:/che/apricot/hoper/CUHK_EDUCON2027_%E8%AE%BA%E6%96%87%E7%A0%94%E7%A9%B6_20260927/Evidence_Graph_Judge_%E8%AE%BA%E6%96%87%E6%96%B9%E6%A1%88_20260930/pdf/original/R24.pdf" TargetMode="External"/><Relationship Id="rId43" Type="http://schemas.openxmlformats.org/officeDocument/2006/relationships/hyperlink" Target="file:///E:/che/apricot/hoper/CUHK_EDUCON2027_%E8%AE%BA%E6%96%87%E7%A0%94%E7%A9%B6_20260927/Evidence_Graph_Judge_%E8%AE%BA%E6%96%87%E6%96%B9%E6%A1%88_20260930/papers/R24.html#evidence-e1" TargetMode="External"/><Relationship Id="rId44" Type="http://schemas.openxmlformats.org/officeDocument/2006/relationships/hyperlink" Target="https://doi.org/10.1186/s41077-016-0033-y" TargetMode="External"/><Relationship Id="rId45" Type="http://schemas.openxmlformats.org/officeDocument/2006/relationships/hyperlink" Target="file:///E:/che/apricot/hoper/CUHK_EDUCON2027_%E8%AE%BA%E6%96%87%E7%A0%94%E7%A9%B6_20260927/Evidence_Graph_Judge_%E8%AE%BA%E6%96%87%E6%96%B9%E6%A1%88_20260930/pdf/original/R17.pdf" TargetMode="External"/><Relationship Id="rId46" Type="http://schemas.openxmlformats.org/officeDocument/2006/relationships/hyperlink" Target="file:///E:/che/apricot/hoper/CUHK_EDUCON2027_%E8%AE%BA%E6%96%87%E7%A0%94%E7%A9%B6_20260927/Evidence_Graph_Judge_%E8%AE%BA%E6%96%87%E6%96%B9%E6%A1%88_20260930/papers/R17.html#evidence-e1" TargetMode="External"/><Relationship Id="rId47" Type="http://schemas.openxmlformats.org/officeDocument/2006/relationships/hyperlink" Target="https://doi.org/10.24926/iip.v12i1.2110" TargetMode="External"/><Relationship Id="rId48" Type="http://schemas.openxmlformats.org/officeDocument/2006/relationships/hyperlink" Target="file:///E:/che/apricot/hoper/CUHK_EDUCON2027_%E8%AE%BA%E6%96%87%E7%A0%94%E7%A9%B6_20260927/Evidence_Graph_Judge_%E8%AE%BA%E6%96%87%E6%96%B9%E6%A1%88_20260930/pdf/original/R19.pdf" TargetMode="External"/><Relationship Id="rId49" Type="http://schemas.openxmlformats.org/officeDocument/2006/relationships/hyperlink" Target="file:///E:/che/apricot/hoper/CUHK_EDUCON2027_%E8%AE%BA%E6%96%87%E7%A0%94%E7%A9%B6_20260927/Evidence_Graph_Judge_%E8%AE%BA%E6%96%87%E6%96%B9%E6%A1%88_20260930/papers/R19.html#evidence-e1" TargetMode="External"/><Relationship Id="rId50" Type="http://schemas.openxmlformats.org/officeDocument/2006/relationships/hyperlink" Target="https://doi.org/10.1016/j.heliyon.2023.e15768" TargetMode="External"/><Relationship Id="rId51" Type="http://schemas.openxmlformats.org/officeDocument/2006/relationships/hyperlink" Target="file:///E:/che/apricot/hoper/CUHK_EDUCON2027_%E8%AE%BA%E6%96%87%E7%A0%94%E7%A9%B6_20260927/Evidence_Graph_Judge_%E8%AE%BA%E6%96%87%E6%96%B9%E6%A1%88_20260930/pdf/original/R20.pdf" TargetMode="External"/><Relationship Id="rId52" Type="http://schemas.openxmlformats.org/officeDocument/2006/relationships/hyperlink" Target="file:///E:/che/apricot/hoper/CUHK_EDUCON2027_%E8%AE%BA%E6%96%87%E7%A0%94%E7%A9%B6_20260927/Evidence_Graph_Judge_%E8%AE%BA%E6%96%87%E6%96%B9%E6%A1%88_20260930/papers/R20.html#evidence-e1" TargetMode="External"/><Relationship Id="rId53" Type="http://schemas.openxmlformats.org/officeDocument/2006/relationships/hyperlink" Target="https://doi.org/10.1109/EDUCON60312.2024.10578654" TargetMode="External"/><Relationship Id="rId54" Type="http://schemas.openxmlformats.org/officeDocument/2006/relationships/hyperlink" Target="file:///E:/che/apricot/hoper/CUHK_EDUCON2027_%E8%AE%BA%E6%96%87%E7%A0%94%E7%A9%B6_20260927/Evidence_Graph_Judge_%E8%AE%BA%E6%96%87%E6%96%B9%E6%A1%88_20260930/pdf/original/R27.pdf" TargetMode="External"/><Relationship Id="rId55" Type="http://schemas.openxmlformats.org/officeDocument/2006/relationships/hyperlink" Target="file:///E:/che/apricot/hoper/CUHK_EDUCON2027_%E8%AE%BA%E6%96%87%E7%A0%94%E7%A9%B6_20260927/Evidence_Graph_Judge_%E8%AE%BA%E6%96%87%E6%96%B9%E6%A1%88_20260930/papers/R27.html#evidence-e1" TargetMode="External"/><Relationship Id="rId56" Type="http://schemas.openxmlformats.org/officeDocument/2006/relationships/hyperlink" Target="https://doi.org/10.1109/TE.2021.3116202" TargetMode="External"/><Relationship Id="rId57" Type="http://schemas.openxmlformats.org/officeDocument/2006/relationships/hyperlink" Target="file:///E:/che/apricot/hoper/CUHK_EDUCON2027_%E8%AE%BA%E6%96%87%E7%A0%94%E7%A9%B6_20260927/Evidence_Graph_Judge_%E8%AE%BA%E6%96%87%E6%96%B9%E6%A1%88_20260930/pdf/original/R29.pdf" TargetMode="External"/><Relationship Id="rId58" Type="http://schemas.openxmlformats.org/officeDocument/2006/relationships/hyperlink" Target="file:///E:/che/apricot/hoper/CUHK_EDUCON2027_%E8%AE%BA%E6%96%87%E7%A0%94%E7%A9%B6_20260927/Evidence_Graph_Judge_%E8%AE%BA%E6%96%87%E6%96%B9%E6%A1%88_20260930/papers/R29.html#evidence-e1" TargetMode="External"/><Relationship Id="rId59" Type="http://schemas.openxmlformats.org/officeDocument/2006/relationships/hyperlink" Target="https://doi.org/10.1109/TLT.2025.3561332" TargetMode="External"/><Relationship Id="rId60" Type="http://schemas.openxmlformats.org/officeDocument/2006/relationships/hyperlink" Target="file:///E:/che/apricot/hoper/CUHK_EDUCON2027_%E8%AE%BA%E6%96%87%E7%A0%94%E7%A9%B6_20260927/Evidence_Graph_Judge_%E8%AE%BA%E6%96%87%E6%96%B9%E6%A1%88_20260930/pdf/original/R30.pdf" TargetMode="External"/><Relationship Id="rId61" Type="http://schemas.openxmlformats.org/officeDocument/2006/relationships/hyperlink" Target="file:///E:/che/apricot/hoper/CUHK_EDUCON2027_%E8%AE%BA%E6%96%87%E7%A0%94%E7%A9%B6_20260927/Evidence_Graph_Judge_%E8%AE%BA%E6%96%87%E6%96%B9%E6%A1%88_20260930/papers/R30.html#evidence-e1" TargetMode="External"/><Relationship Id="rId62" Type="http://schemas.openxmlformats.org/officeDocument/2006/relationships/hyperlink" Target="https://doi.org/10.1525/collabra.33267" TargetMode="External"/><Relationship Id="rId63" Type="http://schemas.openxmlformats.org/officeDocument/2006/relationships/hyperlink" Target="file:///E:/che/apricot/hoper/CUHK_EDUCON2027_%E8%AE%BA%E6%96%87%E7%A0%94%E7%A9%B6_20260927/Evidence_Graph_Judge_%E8%AE%BA%E6%96%87%E6%96%B9%E6%A1%88_20260930/pdf/original/R18.pdf" TargetMode="External"/><Relationship Id="rId64" Type="http://schemas.openxmlformats.org/officeDocument/2006/relationships/hyperlink" Target="file:///E:/che/apricot/hoper/CUHK_EDUCON2027_%E8%AE%BA%E6%96%87%E7%A0%94%E7%A9%B6_20260927/Evidence_Graph_Judge_%E8%AE%BA%E6%96%87%E6%96%B9%E6%A1%88_20260930/papers/R18.html#evidence-e1" TargetMode="External"/><Relationship Id="rId65" Type="http://schemas.openxmlformats.org/officeDocument/2006/relationships/hyperlink" Target="https://doi.org/10.1109/FIE63693.2025.11328530" TargetMode="External"/><Relationship Id="rId66" Type="http://schemas.openxmlformats.org/officeDocument/2006/relationships/hyperlink" Target="file:///E:/che/apricot/hoper/CUHK_EDUCON2027_%E8%AE%BA%E6%96%87%E7%A0%94%E7%A9%B6_20260927/Evidence_Graph_Judge_%E8%AE%BA%E6%96%87%E6%96%B9%E6%A1%88_20260930/pdf/original/R33.pdf" TargetMode="External"/><Relationship Id="rId67" Type="http://schemas.openxmlformats.org/officeDocument/2006/relationships/hyperlink" Target="file:///E:/che/apricot/hoper/CUHK_EDUCON2027_%E8%AE%BA%E6%96%87%E7%A0%94%E7%A9%B6_20260927/Evidence_Graph_Judge_%E8%AE%BA%E6%96%87%E6%96%B9%E6%A1%88_20260930/papers/R33.html#evidence-e1" TargetMode="External"/><Relationship Id="rId68" Type="http://schemas.openxmlformats.org/officeDocument/2006/relationships/hyperlink" Target="https://doi.org/10.1186/s40814-016-0105-8" TargetMode="External"/><Relationship Id="rId69" Type="http://schemas.openxmlformats.org/officeDocument/2006/relationships/hyperlink" Target="https://doi.org/10.1136/bmj.l4378" TargetMode="External"/><Relationship Id="rId70" Type="http://schemas.openxmlformats.org/officeDocument/2006/relationships/hyperlink" Target="https://doi.org/10.1214/ss/1009213286" TargetMode="External"/><Relationship Id="rId71" Type="http://schemas.openxmlformats.org/officeDocument/2006/relationships/hyperlink" Target="https://www.stat.purdue.edu/~dasgupta/publications/tr99-19.pdf" TargetMode="External"/><Relationship Id="rId72" Type="http://schemas.openxmlformats.org/officeDocument/2006/relationships/hyperlink" Target="https://doi.org/10.1186/1471-2288-13-91" TargetMode="External"/><Relationship Id="rId73" Type="http://schemas.openxmlformats.org/officeDocument/2006/relationships/hyperlink" Target="https://journals.ieeeauthorcenter.ieee.org/become-an-ieee-journal-author/publishing-ethics/guidelines-and-policies/submission-and-peer-review-poli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Evidence-Graph Judge: A Rule–Evidence Graph Framework for Unified Role Control and Performance Assessment in Pharmacy OSCEs</dc:title>
  <dc:subject>CUHK AI pharmacy OSCE feasibility and Evidence-Graph Judge method comparison</dc:subject>
  <dc:creator>AI Pharmacy OSCE Research Team</dc:creator>
  <cp:keywords>pharmacy OSCE; Evidence-Graph Judge; role control; performance assessment</cp:keywords>
  <dc:description>generated by python-docx</dc:description>
  <cp:lastModifiedBy/>
  <cp:revision>1</cp:revision>
  <dcterms:created xsi:type="dcterms:W3CDTF">2013-12-23T23:15:00Z</dcterms:created>
  <dcterms:modified xsi:type="dcterms:W3CDTF">2013-12-23T23:15:00Z</dcterms:modified>
  <cp:category/>
</cp:coreProperties>
</file>