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lexander-blake-go-to-market-strategy"/>
      <w:r>
        <w:t xml:space="preserve">Alexander &amp; Blake — Go-to-Market Strategy</w:t>
      </w:r>
      <w:bookmarkEnd w:id="20"/>
    </w:p>
    <w:p>
      <w:pPr>
        <w:pStyle w:val="Heading2"/>
      </w:pPr>
      <w:bookmarkStart w:id="21" w:name="week-client-acquisition-plan-q2q3-2026"/>
      <w:r>
        <w:t xml:space="preserve">12-Week Client Acquisition Plan | Q2–Q3 2026</w:t>
      </w:r>
      <w:bookmarkEnd w:id="21"/>
    </w:p>
    <w:p>
      <w:r>
        <w:pict>
          <v:rect style="width:0;height:1.5pt" o:hralign="center" o:hrstd="t" o:hr="t"/>
        </w:pict>
      </w:r>
    </w:p>
    <w:p>
      <w:pPr>
        <w:pStyle w:val="Heading2"/>
      </w:pPr>
      <w:bookmarkStart w:id="22" w:name="cpa-firm-outreach"/>
      <w:r>
        <w:t xml:space="preserve">1. CPA Firm Outreach</w:t>
      </w:r>
      <w:bookmarkEnd w:id="22"/>
    </w:p>
    <w:p>
      <w:pPr>
        <w:pStyle w:val="Heading3"/>
      </w:pPr>
      <w:bookmarkStart w:id="23" w:name="strategy"/>
      <w:r>
        <w:t xml:space="preserve">Strategy</w:t>
      </w:r>
      <w:bookmarkEnd w:id="23"/>
    </w:p>
    <w:p>
      <w:pPr>
        <w:pStyle w:val="FirstParagraph"/>
      </w:pPr>
      <w:r>
        <w:t xml:space="preserve">CPA firms are the primary referral channel. They have business clients who qualify for R&amp;D tax credits but lack the specialty expertise to prepare the credit study. Position Alexander &amp; Blake as the behind-the-scenes specialist — they keep the client, you do the technical work.</w:t>
      </w:r>
    </w:p>
    <w:p>
      <w:pPr>
        <w:pStyle w:val="Heading3"/>
      </w:pPr>
      <w:bookmarkStart w:id="24" w:name="target-firms-by-region"/>
      <w:r>
        <w:t xml:space="preserve">Target Firms by Region</w:t>
      </w:r>
      <w:bookmarkEnd w:id="24"/>
    </w:p>
    <w:p>
      <w:pPr>
        <w:pStyle w:val="FirstParagraph"/>
      </w:pPr>
      <w:r>
        <w:rPr>
          <w:b/>
        </w:rPr>
        <w:t xml:space="preserve">Upstate (Greenville / Spartanburg) — Priority 1</w:t>
      </w:r>
    </w:p>
    <w:p>
      <w:pPr>
        <w:pStyle w:val="BodyText"/>
      </w:pPr>
      <w:r>
        <w:t xml:space="preserve">These firms serve the densest concentration of SC manufacturers.</w:t>
      </w:r>
    </w:p>
    <w:p>
      <w:pPr>
        <w:numPr>
          <w:ilvl w:val="0"/>
          <w:numId w:val="1001"/>
        </w:numPr>
        <w:pStyle w:val="Compact"/>
      </w:pPr>
      <w:r>
        <w:t xml:space="preserve">Jennings Cook &amp; Company (Greenville) — Principal from Ernst &amp; Young, serves manufacturing, real estate, retail. jenningscook.com</w:t>
      </w:r>
    </w:p>
    <w:p>
      <w:pPr>
        <w:numPr>
          <w:ilvl w:val="0"/>
          <w:numId w:val="1001"/>
        </w:numPr>
        <w:pStyle w:val="Compact"/>
      </w:pPr>
      <w:r>
        <w:t xml:space="preserve">Smith and Shin CPAs (Taylors) — Serves manufacturing, real estate, professional services. smithandshin.com</w:t>
      </w:r>
    </w:p>
    <w:p>
      <w:pPr>
        <w:numPr>
          <w:ilvl w:val="0"/>
          <w:numId w:val="1001"/>
        </w:numPr>
        <w:pStyle w:val="Compact"/>
      </w:pPr>
      <w:r>
        <w:t xml:space="preserve">Stokes &amp; Company (Upstate SC &amp; Western NC) — Small business focus. stokescpas.com</w:t>
      </w:r>
    </w:p>
    <w:p>
      <w:pPr>
        <w:numPr>
          <w:ilvl w:val="0"/>
          <w:numId w:val="1001"/>
        </w:numPr>
        <w:pStyle w:val="Compact"/>
      </w:pPr>
      <w:r>
        <w:t xml:space="preserve">Arthurs &amp; Company CPA (Greenville) — Local firm serving Greenville businesses. arthursandcompanycpa.com</w:t>
      </w:r>
    </w:p>
    <w:p>
      <w:pPr>
        <w:numPr>
          <w:ilvl w:val="0"/>
          <w:numId w:val="1001"/>
        </w:numPr>
        <w:pStyle w:val="Compact"/>
      </w:pPr>
      <w:r>
        <w:t xml:space="preserve">Helm CPA (Greenville area) — Business-focused accounting. helmcpa.com</w:t>
      </w:r>
    </w:p>
    <w:p>
      <w:pPr>
        <w:pStyle w:val="FirstParagraph"/>
      </w:pPr>
      <w:r>
        <w:rPr>
          <w:b/>
        </w:rPr>
        <w:t xml:space="preserve">Midlands (Columbia) — Priority 2</w:t>
      </w:r>
    </w:p>
    <w:p>
      <w:pPr>
        <w:numPr>
          <w:ilvl w:val="0"/>
          <w:numId w:val="1002"/>
        </w:numPr>
        <w:pStyle w:val="Compact"/>
      </w:pPr>
      <w:r>
        <w:t xml:space="preserve">Scott and Company — 30+ year firm, small to large businesses. scottandco.com</w:t>
      </w:r>
    </w:p>
    <w:p>
      <w:pPr>
        <w:numPr>
          <w:ilvl w:val="0"/>
          <w:numId w:val="1002"/>
        </w:numPr>
        <w:pStyle w:val="Compact"/>
      </w:pPr>
      <w:r>
        <w:t xml:space="preserve">McGregor &amp; Company — 90 years, 3 offices, corporate and partnership tax. mcgregorcpa.com</w:t>
      </w:r>
    </w:p>
    <w:p>
      <w:pPr>
        <w:numPr>
          <w:ilvl w:val="0"/>
          <w:numId w:val="1002"/>
        </w:numPr>
        <w:pStyle w:val="Compact"/>
      </w:pPr>
      <w:r>
        <w:t xml:space="preserve">Deese &amp; Company — Small business accounting, consulting, advisory. deesecpas.com</w:t>
      </w:r>
    </w:p>
    <w:p>
      <w:pPr>
        <w:numPr>
          <w:ilvl w:val="0"/>
          <w:numId w:val="1002"/>
        </w:numPr>
        <w:pStyle w:val="Compact"/>
      </w:pPr>
      <w:r>
        <w:t xml:space="preserve">Burkett Burkett &amp; Burkett — Full-range accounting and audit. burkettcpas.com</w:t>
      </w:r>
    </w:p>
    <w:p>
      <w:pPr>
        <w:numPr>
          <w:ilvl w:val="0"/>
          <w:numId w:val="1002"/>
        </w:numPr>
        <w:pStyle w:val="Compact"/>
      </w:pPr>
      <w:r>
        <w:t xml:space="preserve">TWC CPA — Full service audit, tax, accounting, consulting. twccpa.com</w:t>
      </w:r>
    </w:p>
    <w:p>
      <w:pPr>
        <w:pStyle w:val="FirstParagraph"/>
      </w:pPr>
      <w:r>
        <w:rPr>
          <w:b/>
        </w:rPr>
        <w:t xml:space="preserve">Lowcountry (Charleston) — Priority 3</w:t>
      </w:r>
    </w:p>
    <w:p>
      <w:pPr>
        <w:numPr>
          <w:ilvl w:val="0"/>
          <w:numId w:val="1003"/>
        </w:numPr>
        <w:pStyle w:val="Compact"/>
      </w:pPr>
      <w:r>
        <w:t xml:space="preserve">Veris CPA — Tax, consulting, bookkeeping, outsourced accounting, audit. veriscpa.com</w:t>
      </w:r>
    </w:p>
    <w:p>
      <w:pPr>
        <w:numPr>
          <w:ilvl w:val="0"/>
          <w:numId w:val="1003"/>
        </w:numPr>
        <w:pStyle w:val="Compact"/>
      </w:pPr>
      <w:r>
        <w:t xml:space="preserve">Streetman, Jones &amp; Powers — Established Charleston firm. cpacharleston.com</w:t>
      </w:r>
    </w:p>
    <w:p>
      <w:pPr>
        <w:numPr>
          <w:ilvl w:val="0"/>
          <w:numId w:val="1003"/>
        </w:numPr>
        <w:pStyle w:val="Compact"/>
      </w:pPr>
      <w:r>
        <w:t xml:space="preserve">Benjamin Scott CPA — Small business growth-focused. scott-cpa.com</w:t>
      </w:r>
    </w:p>
    <w:p>
      <w:pPr>
        <w:numPr>
          <w:ilvl w:val="0"/>
          <w:numId w:val="1003"/>
        </w:numPr>
        <w:pStyle w:val="Compact"/>
      </w:pPr>
      <w:r>
        <w:t xml:space="preserve">Brian G. Borry CPA — Full service tax, accounting, business consulting. brianborry.com</w:t>
      </w:r>
    </w:p>
    <w:p>
      <w:pPr>
        <w:numPr>
          <w:ilvl w:val="0"/>
          <w:numId w:val="1003"/>
        </w:numPr>
        <w:pStyle w:val="Compact"/>
      </w:pPr>
      <w:r>
        <w:t xml:space="preserve">Elizabeth Bartlett CPA — 35+ years in the Lowcountry. cpa-di.com</w:t>
      </w:r>
    </w:p>
    <w:p>
      <w:pPr>
        <w:pStyle w:val="FirstParagraph"/>
      </w:pPr>
      <w:r>
        <w:rPr>
          <w:b/>
        </w:rPr>
        <w:t xml:space="preserve">Coast (Myrtle Beach / Hilton Head)</w:t>
      </w:r>
    </w:p>
    <w:p>
      <w:pPr>
        <w:numPr>
          <w:ilvl w:val="0"/>
          <w:numId w:val="1004"/>
        </w:numPr>
        <w:pStyle w:val="Compact"/>
      </w:pPr>
      <w:r>
        <w:t xml:space="preserve">Smith Sapp (Myrtle Beach) — Trusted since 1948, tax and audit. sccpa.com</w:t>
      </w:r>
    </w:p>
    <w:p>
      <w:pPr>
        <w:numPr>
          <w:ilvl w:val="0"/>
          <w:numId w:val="1004"/>
        </w:numPr>
        <w:pStyle w:val="Compact"/>
      </w:pPr>
      <w:r>
        <w:t xml:space="preserve">The Honeycutt Group (Myrtle Beach) — AICPA and SCACPA member. myrtlebeachcpa.com</w:t>
      </w:r>
    </w:p>
    <w:p>
      <w:pPr>
        <w:numPr>
          <w:ilvl w:val="0"/>
          <w:numId w:val="1004"/>
        </w:numPr>
        <w:pStyle w:val="Compact"/>
      </w:pPr>
      <w:r>
        <w:t xml:space="preserve">Carey &amp; Company (Hilton Head) — Full service tax and business consulting. pcareycpa.com</w:t>
      </w:r>
    </w:p>
    <w:p>
      <w:pPr>
        <w:pStyle w:val="Heading3"/>
      </w:pPr>
      <w:bookmarkStart w:id="25" w:name="initial-outreach-email"/>
      <w:r>
        <w:t xml:space="preserve">Initial Outreach Email</w:t>
      </w:r>
      <w:bookmarkEnd w:id="25"/>
    </w:p>
    <w:p>
      <w:pPr>
        <w:pStyle w:val="FirstParagraph"/>
      </w:pPr>
      <w:r>
        <w:t xml:space="preserve">Subject line: R&amp;D Tax Credits — Specialty Support for Your Business Clients</w:t>
      </w:r>
    </w:p>
    <w:p>
      <w:pPr>
        <w:pStyle w:val="BodyText"/>
      </w:pPr>
      <w:r>
        <w:t xml:space="preserve">Body:</w:t>
      </w:r>
    </w:p>
    <w:p>
      <w:pPr>
        <w:pStyle w:val="BodyText"/>
      </w:pPr>
      <w:r>
        <w:t xml:space="preserve">Good morning,</w:t>
      </w:r>
    </w:p>
    <w:p>
      <w:pPr>
        <w:pStyle w:val="BodyText"/>
      </w:pPr>
      <w:r>
        <w:t xml:space="preserve">Several of your business clients may qualify for R&amp;D tax credits they haven’t claimed — particularly those in manufacturing, software, engineering, construction, or product development.</w:t>
      </w:r>
    </w:p>
    <w:p>
      <w:pPr>
        <w:pStyle w:val="BodyText"/>
      </w:pPr>
      <w:r>
        <w:t xml:space="preserve">Alexander &amp; Blake is a specialist R&amp;D tax credit advisory firm supporting South Carolina businesses and the CPA firms that serve them. We handle the technical credit study, including eligibility review, technical interviews, QRE analysis, project narratives, credit calculations, and Form 6765 support.</w:t>
      </w:r>
    </w:p>
    <w:p>
      <w:pPr>
        <w:pStyle w:val="BodyText"/>
      </w:pPr>
      <w:r>
        <w:t xml:space="preserve">Your firm maintains the client relationship and files the return. We simply provide the specialty R&amp;D tax credit work behind the scenes.</w:t>
      </w:r>
    </w:p>
    <w:p>
      <w:pPr>
        <w:pStyle w:val="BodyText"/>
      </w:pPr>
      <w:r>
        <w:t xml:space="preserve">A few things that may be relevant:</w:t>
      </w:r>
    </w:p>
    <w:p>
      <w:pPr>
        <w:pStyle w:val="BodyText"/>
      </w:pPr>
      <w:r>
        <w:t xml:space="preserve">— We work on a contingency basis: no credit, no fee.</w:t>
      </w:r>
      <w:r>
        <w:t xml:space="preserve"> </w:t>
      </w:r>
      <w:r>
        <w:t xml:space="preserve">— We evaluate both federal and South Carolina R&amp;D credits in one engagement.</w:t>
      </w:r>
      <w:r>
        <w:t xml:space="preserve"> </w:t>
      </w:r>
      <w:r>
        <w:t xml:space="preserve">— Audit defense support is included at no additional cost.</w:t>
      </w:r>
      <w:r>
        <w:t xml:space="preserve"> </w:t>
      </w:r>
      <w:r>
        <w:t xml:space="preserve">— Each study is prepared with the expectation that it may be examined.</w:t>
      </w:r>
    </w:p>
    <w:p>
      <w:pPr>
        <w:pStyle w:val="BodyText"/>
      </w:pPr>
      <w:r>
        <w:t xml:space="preserve">If this could be useful for your clients, I’d welcome a brief conversation. Fifteen minutes is usually enough to determine whether there may be a fit.</w:t>
      </w:r>
    </w:p>
    <w:p>
      <w:pPr>
        <w:pStyle w:val="BodyText"/>
      </w:pPr>
      <w:r>
        <w:t xml:space="preserve">Regards,</w:t>
      </w:r>
      <w:r>
        <w:t xml:space="preserve"> </w:t>
      </w:r>
      <w:r>
        <w:t xml:space="preserve">D.G.</w:t>
      </w:r>
      <w:r>
        <w:t xml:space="preserve"> </w:t>
      </w:r>
      <w:r>
        <w:t xml:space="preserve">Managing Director</w:t>
      </w:r>
      <w:r>
        <w:t xml:space="preserve"> </w:t>
      </w:r>
      <w:r>
        <w:t xml:space="preserve">Alexander &amp; Blake</w:t>
      </w:r>
      <w:r>
        <w:t xml:space="preserve"> </w:t>
      </w:r>
      <w:r>
        <w:t xml:space="preserve">alexanderandblake.com | dg@alexanderandblake.com</w:t>
      </w:r>
    </w:p>
    <w:p>
      <w:pPr>
        <w:pStyle w:val="Heading3"/>
      </w:pPr>
      <w:bookmarkStart w:id="26" w:name="Xb3d140a726703f7b88c8ca0fdd30bbadc11d342"/>
      <w:r>
        <w:t xml:space="preserve">Follow-Up Email (Send 5–7 days after initial, if no response)</w:t>
      </w:r>
      <w:bookmarkEnd w:id="26"/>
    </w:p>
    <w:p>
      <w:pPr>
        <w:pStyle w:val="FirstParagraph"/>
      </w:pPr>
      <w:r>
        <w:t xml:space="preserve">Subject line: Re: R&amp;D Tax Credits — Specialty Support for Your Business Clients</w:t>
      </w:r>
    </w:p>
    <w:p>
      <w:pPr>
        <w:pStyle w:val="BodyText"/>
      </w:pPr>
      <w:r>
        <w:t xml:space="preserve">Body:</w:t>
      </w:r>
    </w:p>
    <w:p>
      <w:pPr>
        <w:pStyle w:val="BodyText"/>
      </w:pPr>
      <w:r>
        <w:t xml:space="preserve">Good morning,</w:t>
      </w:r>
    </w:p>
    <w:p>
      <w:pPr>
        <w:pStyle w:val="BodyText"/>
      </w:pPr>
      <w:r>
        <w:t xml:space="preserve">I wanted to follow up briefly on my earlier note. I understand this may not be a priority right now, and I appreciate your time either way.</w:t>
      </w:r>
    </w:p>
    <w:p>
      <w:pPr>
        <w:pStyle w:val="BodyText"/>
      </w:pPr>
      <w:r>
        <w:t xml:space="preserve">If it’s helpful, here’s a quick sense of what we typically see:</w:t>
      </w:r>
    </w:p>
    <w:p>
      <w:pPr>
        <w:pStyle w:val="BodyText"/>
      </w:pPr>
      <w:r>
        <w:t xml:space="preserve">— A manufacturing firm with $2M in qualifying wages may be eligible for $130K–$160K in combined federal and state credits.</w:t>
      </w:r>
      <w:r>
        <w:t xml:space="preserve"> </w:t>
      </w:r>
      <w:r>
        <w:t xml:space="preserve">— A software company with 15 engineers may qualify for $80K–$120K annually.</w:t>
      </w:r>
      <w:r>
        <w:t xml:space="preserve"> </w:t>
      </w:r>
      <w:r>
        <w:t xml:space="preserve">— Most businesses can also recover credits from the prior 3 tax years through amended returns.</w:t>
      </w:r>
    </w:p>
    <w:p>
      <w:pPr>
        <w:pStyle w:val="BodyText"/>
      </w:pPr>
      <w:r>
        <w:t xml:space="preserve">We handle the full study and coordinate directly with your team for filing. There’s no disruption to your existing workflow.</w:t>
      </w:r>
    </w:p>
    <w:p>
      <w:pPr>
        <w:pStyle w:val="BodyText"/>
      </w:pPr>
      <w:r>
        <w:t xml:space="preserve">If any of your clients might benefit, I’m happy to walk through a quick example. No obligation.</w:t>
      </w:r>
    </w:p>
    <w:p>
      <w:pPr>
        <w:pStyle w:val="BodyText"/>
      </w:pPr>
      <w:r>
        <w:t xml:space="preserve">Regards,</w:t>
      </w:r>
      <w:r>
        <w:t xml:space="preserve"> </w:t>
      </w:r>
      <w:r>
        <w:t xml:space="preserve">D.G.</w:t>
      </w:r>
      <w:r>
        <w:t xml:space="preserve"> </w:t>
      </w:r>
      <w:r>
        <w:t xml:space="preserve">Managing Director</w:t>
      </w:r>
      <w:r>
        <w:t xml:space="preserve"> </w:t>
      </w:r>
      <w:r>
        <w:t xml:space="preserve">Alexander &amp; Blake</w:t>
      </w:r>
      <w:r>
        <w:t xml:space="preserve"> </w:t>
      </w:r>
      <w:r>
        <w:t xml:space="preserve">alexanderandblake.com | dg@alexanderandblake.com</w:t>
      </w:r>
    </w:p>
    <w:p>
      <w:pPr>
        <w:pStyle w:val="Heading3"/>
      </w:pPr>
      <w:bookmarkStart w:id="27" w:name="Xf149483da6aced0c5e972de2057d4f96edb8295"/>
      <w:r>
        <w:t xml:space="preserve">Follow-Up Email 2 (Send 2 weeks after follow-up 1, if no response)</w:t>
      </w:r>
      <w:bookmarkEnd w:id="27"/>
    </w:p>
    <w:p>
      <w:pPr>
        <w:pStyle w:val="FirstParagraph"/>
      </w:pPr>
      <w:r>
        <w:t xml:space="preserve">Subject line: One last note — R&amp;D tax credit support</w:t>
      </w:r>
    </w:p>
    <w:p>
      <w:pPr>
        <w:pStyle w:val="BodyText"/>
      </w:pPr>
      <w:r>
        <w:t xml:space="preserve">Body:</w:t>
      </w:r>
    </w:p>
    <w:p>
      <w:pPr>
        <w:pStyle w:val="BodyText"/>
      </w:pPr>
      <w:r>
        <w:t xml:space="preserve">Good morning,</w:t>
      </w:r>
    </w:p>
    <w:p>
      <w:pPr>
        <w:pStyle w:val="BodyText"/>
      </w:pPr>
      <w:r>
        <w:t xml:space="preserve">I’ll keep this brief. If the timing isn’t right, I completely understand. I just wanted to leave the door open.</w:t>
      </w:r>
    </w:p>
    <w:p>
      <w:pPr>
        <w:pStyle w:val="BodyText"/>
      </w:pPr>
      <w:r>
        <w:t xml:space="preserve">If you ever have a client ask about R&amp;D tax credits — or if you come across a business doing technical work that might qualify — we’re here as a resource. No referral commitment needed. Happy to evaluate any situation informally.</w:t>
      </w:r>
    </w:p>
    <w:p>
      <w:pPr>
        <w:pStyle w:val="BodyText"/>
      </w:pPr>
      <w:r>
        <w:t xml:space="preserve">alexanderandblake.com/cpa-partners has more detail on how we work with CPA firms.</w:t>
      </w:r>
    </w:p>
    <w:p>
      <w:pPr>
        <w:pStyle w:val="BodyText"/>
      </w:pPr>
      <w:r>
        <w:t xml:space="preserve">Best regards,</w:t>
      </w:r>
      <w:r>
        <w:t xml:space="preserve"> </w:t>
      </w:r>
      <w:r>
        <w:t xml:space="preserve">D.G.</w:t>
      </w:r>
      <w:r>
        <w:t xml:space="preserve"> </w:t>
      </w:r>
      <w:r>
        <w:t xml:space="preserve">Managing Director</w:t>
      </w:r>
      <w:r>
        <w:t xml:space="preserve"> </w:t>
      </w:r>
      <w:r>
        <w:t xml:space="preserve">Alexander &amp; Blake</w:t>
      </w:r>
    </w:p>
    <w:p>
      <w:r>
        <w:pict>
          <v:rect style="width:0;height:1.5pt" o:hralign="center" o:hrstd="t" o:hr="t"/>
        </w:pict>
      </w:r>
    </w:p>
    <w:p>
      <w:pPr>
        <w:pStyle w:val="Heading2"/>
      </w:pPr>
      <w:bookmarkStart w:id="28" w:name="direct-business-owner-outreach"/>
      <w:r>
        <w:t xml:space="preserve">2. Direct Business Owner Outreach</w:t>
      </w:r>
      <w:bookmarkEnd w:id="28"/>
    </w:p>
    <w:p>
      <w:pPr>
        <w:pStyle w:val="Heading3"/>
      </w:pPr>
      <w:bookmarkStart w:id="29" w:name="strategy-1"/>
      <w:r>
        <w:t xml:space="preserve">Strategy</w:t>
      </w:r>
      <w:bookmarkEnd w:id="29"/>
    </w:p>
    <w:p>
      <w:pPr>
        <w:pStyle w:val="FirstParagraph"/>
      </w:pPr>
      <w:r>
        <w:t xml:space="preserve">Target business owners and technical leaders (CTOs, VPs of Engineering, operations managers) at SC companies in qualifying industries. Focus on companies with 20–500 employees — large enough to have meaningful R&amp;D spend, small enough that they haven’t already engaged a national firm.</w:t>
      </w:r>
    </w:p>
    <w:p>
      <w:pPr>
        <w:pStyle w:val="Heading3"/>
      </w:pPr>
      <w:bookmarkStart w:id="30" w:name="target-industries"/>
      <w:r>
        <w:t xml:space="preserve">Target Industries</w:t>
      </w:r>
      <w:bookmarkEnd w:id="30"/>
    </w:p>
    <w:p>
      <w:pPr>
        <w:numPr>
          <w:ilvl w:val="0"/>
          <w:numId w:val="1005"/>
        </w:numPr>
        <w:pStyle w:val="Compact"/>
      </w:pPr>
      <w:r>
        <w:t xml:space="preserve">Manufacturing (highest volume of qualifying activities)</w:t>
      </w:r>
    </w:p>
    <w:p>
      <w:pPr>
        <w:numPr>
          <w:ilvl w:val="0"/>
          <w:numId w:val="1005"/>
        </w:numPr>
        <w:pStyle w:val="Compact"/>
      </w:pPr>
      <w:r>
        <w:t xml:space="preserve">Software development</w:t>
      </w:r>
    </w:p>
    <w:p>
      <w:pPr>
        <w:numPr>
          <w:ilvl w:val="0"/>
          <w:numId w:val="1005"/>
        </w:numPr>
        <w:pStyle w:val="Compact"/>
      </w:pPr>
      <w:r>
        <w:t xml:space="preserve">Engineering and architecture firms</w:t>
      </w:r>
    </w:p>
    <w:p>
      <w:pPr>
        <w:numPr>
          <w:ilvl w:val="0"/>
          <w:numId w:val="1005"/>
        </w:numPr>
        <w:pStyle w:val="Compact"/>
      </w:pPr>
      <w:r>
        <w:t xml:space="preserve">Construction companies with proprietary methods</w:t>
      </w:r>
    </w:p>
    <w:p>
      <w:pPr>
        <w:numPr>
          <w:ilvl w:val="0"/>
          <w:numId w:val="1005"/>
        </w:numPr>
        <w:pStyle w:val="Compact"/>
      </w:pPr>
      <w:r>
        <w:t xml:space="preserve">Food and beverage (process development)</w:t>
      </w:r>
    </w:p>
    <w:p>
      <w:pPr>
        <w:numPr>
          <w:ilvl w:val="0"/>
          <w:numId w:val="1005"/>
        </w:numPr>
        <w:pStyle w:val="Compact"/>
      </w:pPr>
      <w:r>
        <w:t xml:space="preserve">Life sciences and biotech</w:t>
      </w:r>
    </w:p>
    <w:p>
      <w:pPr>
        <w:pStyle w:val="Heading3"/>
      </w:pPr>
      <w:bookmarkStart w:id="31" w:name="linkedin-outreach-template"/>
      <w:r>
        <w:t xml:space="preserve">LinkedIn Outreach Template</w:t>
      </w:r>
      <w:bookmarkEnd w:id="31"/>
    </w:p>
    <w:p>
      <w:pPr>
        <w:pStyle w:val="FirstParagraph"/>
      </w:pPr>
      <w:r>
        <w:t xml:space="preserve">Connection request note (300 char limit):</w:t>
      </w:r>
    </w:p>
    <w:p>
      <w:pPr>
        <w:pStyle w:val="BodyText"/>
      </w:pPr>
      <w:r>
        <w:t xml:space="preserve">Hi [Name] — I work with SC [industry] companies on R&amp;D tax credits. Many firms doing technical work qualify without realizing it. Happy to connect and share what we’re seeing in the space.</w:t>
      </w:r>
    </w:p>
    <w:p>
      <w:pPr>
        <w:pStyle w:val="BodyText"/>
      </w:pPr>
      <w:r>
        <w:t xml:space="preserve">Follow-up message (after connection accepted):</w:t>
      </w:r>
    </w:p>
    <w:p>
      <w:pPr>
        <w:pStyle w:val="BodyText"/>
      </w:pPr>
      <w:r>
        <w:t xml:space="preserve">Thanks for connecting, [Name]. I noticed [Company] does [specific work — e.g., custom manufacturing, software development, process engineering]. Companies doing that kind of technical work often qualify for meaningful federal and SC state R&amp;D tax credits.</w:t>
      </w:r>
    </w:p>
    <w:p>
      <w:pPr>
        <w:pStyle w:val="BodyText"/>
      </w:pPr>
      <w:r>
        <w:t xml:space="preserve">We specialize in preparing the credit study — eligibility review, technical documentation, and CPA-coordinated filing support. Most of the companies we work with recover $50K–$200K+ annually, and we can also go back 3 years for credits that were never claimed.</w:t>
      </w:r>
    </w:p>
    <w:p>
      <w:pPr>
        <w:pStyle w:val="BodyText"/>
      </w:pPr>
      <w:r>
        <w:t xml:space="preserve">If you’ve ever been curious about whether it applies, I’m happy to do a quick assessment. No cost, no obligation. Would that be useful?</w:t>
      </w:r>
    </w:p>
    <w:p>
      <w:pPr>
        <w:pStyle w:val="Heading3"/>
      </w:pPr>
      <w:bookmarkStart w:id="32" w:name="email-template-for-direct-outreach"/>
      <w:r>
        <w:t xml:space="preserve">Email Template for Direct Outreach</w:t>
      </w:r>
      <w:bookmarkEnd w:id="32"/>
    </w:p>
    <w:p>
      <w:pPr>
        <w:pStyle w:val="FirstParagraph"/>
      </w:pPr>
      <w:r>
        <w:t xml:space="preserve">Subject line: [Company Name] — potential R&amp;D tax credit opportunity</w:t>
      </w:r>
    </w:p>
    <w:p>
      <w:pPr>
        <w:pStyle w:val="BodyText"/>
      </w:pPr>
      <w:r>
        <w:t xml:space="preserve">Body:</w:t>
      </w:r>
    </w:p>
    <w:p>
      <w:pPr>
        <w:pStyle w:val="BodyText"/>
      </w:pPr>
      <w:r>
        <w:t xml:space="preserve">Good morning,</w:t>
      </w:r>
    </w:p>
    <w:p>
      <w:pPr>
        <w:pStyle w:val="BodyText"/>
      </w:pPr>
      <w:r>
        <w:t xml:space="preserve">I’m reaching out because [Company Name]’s work in [specific area — e.g., custom fabrication, product development, process improvement] may qualify for federal and South Carolina R&amp;D tax credits.</w:t>
      </w:r>
    </w:p>
    <w:p>
      <w:pPr>
        <w:pStyle w:val="BodyText"/>
      </w:pPr>
      <w:r>
        <w:t xml:space="preserve">Most companies in [industry] don’t realize the credit applies to them — it’s not limited to lab research or patent work. If your team is solving technical problems, improving processes, or developing new products, there’s a good chance qualifying activities are already happening.</w:t>
      </w:r>
    </w:p>
    <w:p>
      <w:pPr>
        <w:pStyle w:val="BodyText"/>
      </w:pPr>
      <w:r>
        <w:t xml:space="preserve">Alexander &amp; Blake prepares R&amp;D tax credit studies for South Carolina businesses. We handle the technical work and coordinate directly with your CPA for filing. Our fee is contingency-based — if there’s no credit, there’s no cost.</w:t>
      </w:r>
    </w:p>
    <w:p>
      <w:pPr>
        <w:pStyle w:val="BodyText"/>
      </w:pPr>
      <w:r>
        <w:t xml:space="preserve">Would a 15-minute call to evaluate whether this applies make sense?</w:t>
      </w:r>
    </w:p>
    <w:p>
      <w:pPr>
        <w:pStyle w:val="BodyText"/>
      </w:pPr>
      <w:r>
        <w:t xml:space="preserve">Regards,</w:t>
      </w:r>
      <w:r>
        <w:t xml:space="preserve"> </w:t>
      </w:r>
      <w:r>
        <w:t xml:space="preserve">D.G.</w:t>
      </w:r>
      <w:r>
        <w:t xml:space="preserve"> </w:t>
      </w:r>
      <w:r>
        <w:t xml:space="preserve">Managing Director</w:t>
      </w:r>
      <w:r>
        <w:t xml:space="preserve"> </w:t>
      </w:r>
      <w:r>
        <w:t xml:space="preserve">Alexander &amp; Blake</w:t>
      </w:r>
      <w:r>
        <w:t xml:space="preserve"> </w:t>
      </w:r>
      <w:r>
        <w:t xml:space="preserve">alexanderandblake.com | dg@alexanderandblake.com</w:t>
      </w:r>
    </w:p>
    <w:p>
      <w:r>
        <w:pict>
          <v:rect style="width:0;height:1.5pt" o:hralign="center" o:hrstd="t" o:hr="t"/>
        </w:pict>
      </w:r>
    </w:p>
    <w:p>
      <w:pPr>
        <w:pStyle w:val="Heading2"/>
      </w:pPr>
      <w:bookmarkStart w:id="33" w:name="week-linkedin-content-calendar"/>
      <w:r>
        <w:t xml:space="preserve">3. 12-Week LinkedIn Content Calendar</w:t>
      </w:r>
      <w:bookmarkEnd w:id="33"/>
    </w:p>
    <w:p>
      <w:pPr>
        <w:pStyle w:val="FirstParagraph"/>
      </w:pPr>
      <w:r>
        <w:t xml:space="preserve">Post 2–3 times per week from the Alexander &amp; Blake company page. Mix educational content, industry-specific posts, and credibility builders.</w:t>
      </w:r>
    </w:p>
    <w:p>
      <w:pPr>
        <w:pStyle w:val="Heading3"/>
      </w:pPr>
      <w:bookmarkStart w:id="34" w:name="week-1-launch"/>
      <w:r>
        <w:t xml:space="preserve">Week 1 (Launch)</w:t>
      </w:r>
      <w:bookmarkEnd w:id="34"/>
    </w:p>
    <w:p>
      <w:pPr>
        <w:numPr>
          <w:ilvl w:val="0"/>
          <w:numId w:val="1006"/>
        </w:numPr>
        <w:pStyle w:val="Compact"/>
      </w:pPr>
      <w:r>
        <w:rPr>
          <w:b/>
        </w:rPr>
        <w:t xml:space="preserve">Monday:</w:t>
      </w:r>
      <w:r>
        <w:t xml:space="preserve"> </w:t>
      </w:r>
      <w:r>
        <w:t xml:space="preserve">Introductory post —</w:t>
      </w:r>
      <w:r>
        <w:t xml:space="preserve"> </w:t>
      </w:r>
      <w:r>
        <w:t xml:space="preserve">“</w:t>
      </w:r>
      <w:r>
        <w:t xml:space="preserve">Most SC businesses that qualify for R&amp;D tax credits aren’t claiming them.</w:t>
      </w:r>
      <w:r>
        <w:t xml:space="preserve">”</w:t>
      </w:r>
      <w:r>
        <w:t xml:space="preserve"> </w:t>
      </w:r>
      <w:r>
        <w:t xml:space="preserve">(Already written)</w:t>
      </w:r>
    </w:p>
    <w:p>
      <w:pPr>
        <w:numPr>
          <w:ilvl w:val="0"/>
          <w:numId w:val="1006"/>
        </w:numPr>
        <w:pStyle w:val="Compact"/>
      </w:pPr>
      <w:r>
        <w:rPr>
          <w:b/>
        </w:rPr>
        <w:t xml:space="preserve">Thursday:</w:t>
      </w:r>
      <w:r>
        <w:t xml:space="preserve"> </w:t>
      </w:r>
      <w:r>
        <w:t xml:space="preserve">What counts as R&amp;D? —</w:t>
      </w:r>
      <w:r>
        <w:t xml:space="preserve"> </w:t>
      </w:r>
      <w:r>
        <w:t xml:space="preserve">“</w:t>
      </w:r>
      <w:r>
        <w:t xml:space="preserve">No lab coat required. If your team is solving technical problems, you may qualify.</w:t>
      </w:r>
      <w:r>
        <w:t xml:space="preserve">”</w:t>
      </w:r>
    </w:p>
    <w:p>
      <w:pPr>
        <w:pStyle w:val="Heading3"/>
      </w:pPr>
      <w:bookmarkStart w:id="35" w:name="week-2"/>
      <w:r>
        <w:t xml:space="preserve">Week 2</w:t>
      </w:r>
      <w:bookmarkEnd w:id="35"/>
    </w:p>
    <w:p>
      <w:pPr>
        <w:numPr>
          <w:ilvl w:val="0"/>
          <w:numId w:val="1007"/>
        </w:numPr>
        <w:pStyle w:val="Compact"/>
      </w:pPr>
      <w:r>
        <w:rPr>
          <w:b/>
        </w:rPr>
        <w:t xml:space="preserve">Monday:</w:t>
      </w:r>
      <w:r>
        <w:t xml:space="preserve"> </w:t>
      </w:r>
      <w:r>
        <w:t xml:space="preserve">Life sciences post —</w:t>
      </w:r>
      <w:r>
        <w:t xml:space="preserve"> </w:t>
      </w:r>
      <w:r>
        <w:t xml:space="preserve">“</w:t>
      </w:r>
      <w:r>
        <w:t xml:space="preserve">Emerging technologies in life sciences and R&amp;D tax credits.</w:t>
      </w:r>
      <w:r>
        <w:t xml:space="preserve">”</w:t>
      </w:r>
      <w:r>
        <w:t xml:space="preserve"> </w:t>
      </w:r>
      <w:r>
        <w:t xml:space="preserve">(Already written)</w:t>
      </w:r>
    </w:p>
    <w:p>
      <w:pPr>
        <w:numPr>
          <w:ilvl w:val="0"/>
          <w:numId w:val="1007"/>
        </w:numPr>
        <w:pStyle w:val="Compact"/>
      </w:pPr>
      <w:r>
        <w:rPr>
          <w:b/>
        </w:rPr>
        <w:t xml:space="preserve">Thursday:</w:t>
      </w:r>
      <w:r>
        <w:t xml:space="preserve"> </w:t>
      </w:r>
      <w:r>
        <w:t xml:space="preserve">Manufacturing focus —</w:t>
      </w:r>
      <w:r>
        <w:t xml:space="preserve"> </w:t>
      </w:r>
      <w:r>
        <w:t xml:space="preserve">“</w:t>
      </w:r>
      <w:r>
        <w:t xml:space="preserve">Your production line improvements may be worth $50K–$150K in tax credits.</w:t>
      </w:r>
      <w:r>
        <w:t xml:space="preserve">”</w:t>
      </w:r>
    </w:p>
    <w:p>
      <w:pPr>
        <w:pStyle w:val="Heading3"/>
      </w:pPr>
      <w:bookmarkStart w:id="36" w:name="week-3"/>
      <w:r>
        <w:t xml:space="preserve">Week 3</w:t>
      </w:r>
      <w:bookmarkEnd w:id="36"/>
    </w:p>
    <w:p>
      <w:pPr>
        <w:numPr>
          <w:ilvl w:val="0"/>
          <w:numId w:val="1008"/>
        </w:numPr>
        <w:pStyle w:val="Compact"/>
      </w:pPr>
      <w:r>
        <w:rPr>
          <w:b/>
        </w:rPr>
        <w:t xml:space="preserve">Monday:</w:t>
      </w:r>
      <w:r>
        <w:t xml:space="preserve"> </w:t>
      </w:r>
      <w:r>
        <w:t xml:space="preserve">The four-part test explained —</w:t>
      </w:r>
      <w:r>
        <w:t xml:space="preserve"> </w:t>
      </w:r>
      <w:r>
        <w:t xml:space="preserve">“</w:t>
      </w:r>
      <w:r>
        <w:t xml:space="preserve">The IRS uses four criteria to determine if your work qualifies. Here’s what they look at.</w:t>
      </w:r>
      <w:r>
        <w:t xml:space="preserve">”</w:t>
      </w:r>
    </w:p>
    <w:p>
      <w:pPr>
        <w:numPr>
          <w:ilvl w:val="0"/>
          <w:numId w:val="1008"/>
        </w:numPr>
        <w:pStyle w:val="Compact"/>
      </w:pPr>
      <w:r>
        <w:rPr>
          <w:b/>
        </w:rPr>
        <w:t xml:space="preserve">Wednesday:</w:t>
      </w:r>
      <w:r>
        <w:t xml:space="preserve"> </w:t>
      </w:r>
      <w:r>
        <w:t xml:space="preserve">Software companies —</w:t>
      </w:r>
      <w:r>
        <w:t xml:space="preserve"> </w:t>
      </w:r>
      <w:r>
        <w:t xml:space="preserve">“</w:t>
      </w:r>
      <w:r>
        <w:t xml:space="preserve">Building internal tools? Custom integrations? That’s qualifying R&amp;D.</w:t>
      </w:r>
      <w:r>
        <w:t xml:space="preserve">”</w:t>
      </w:r>
    </w:p>
    <w:p>
      <w:pPr>
        <w:pStyle w:val="Heading3"/>
      </w:pPr>
      <w:bookmarkStart w:id="37" w:name="week-4"/>
      <w:r>
        <w:t xml:space="preserve">Week 4</w:t>
      </w:r>
      <w:bookmarkEnd w:id="37"/>
    </w:p>
    <w:p>
      <w:pPr>
        <w:numPr>
          <w:ilvl w:val="0"/>
          <w:numId w:val="1009"/>
        </w:numPr>
        <w:pStyle w:val="Compact"/>
      </w:pPr>
      <w:r>
        <w:rPr>
          <w:b/>
        </w:rPr>
        <w:t xml:space="preserve">Tuesday:</w:t>
      </w:r>
      <w:r>
        <w:t xml:space="preserve"> </w:t>
      </w:r>
      <w:r>
        <w:t xml:space="preserve">Common misconceptions —</w:t>
      </w:r>
      <w:r>
        <w:t xml:space="preserve"> </w:t>
      </w:r>
      <w:r>
        <w:t xml:space="preserve">“</w:t>
      </w:r>
      <w:r>
        <w:t xml:space="preserve">5 things business owners get wrong about R&amp;D tax credits.</w:t>
      </w:r>
      <w:r>
        <w:t xml:space="preserve">”</w:t>
      </w:r>
    </w:p>
    <w:p>
      <w:pPr>
        <w:numPr>
          <w:ilvl w:val="0"/>
          <w:numId w:val="1009"/>
        </w:numPr>
        <w:pStyle w:val="Compact"/>
      </w:pPr>
      <w:r>
        <w:rPr>
          <w:b/>
        </w:rPr>
        <w:t xml:space="preserve">Thursday:</w:t>
      </w:r>
      <w:r>
        <w:t xml:space="preserve"> </w:t>
      </w:r>
      <w:r>
        <w:t xml:space="preserve">SC state credit spotlight —</w:t>
      </w:r>
      <w:r>
        <w:t xml:space="preserve"> </w:t>
      </w:r>
      <w:r>
        <w:t xml:space="preserve">“</w:t>
      </w:r>
      <w:r>
        <w:t xml:space="preserve">South Carolina offers a 5% state credit on top of the federal benefit. Here’s how they work together.</w:t>
      </w:r>
      <w:r>
        <w:t xml:space="preserve">”</w:t>
      </w:r>
    </w:p>
    <w:p>
      <w:pPr>
        <w:pStyle w:val="Heading3"/>
      </w:pPr>
      <w:bookmarkStart w:id="38" w:name="week-5"/>
      <w:r>
        <w:t xml:space="preserve">Week 5</w:t>
      </w:r>
      <w:bookmarkEnd w:id="38"/>
    </w:p>
    <w:p>
      <w:pPr>
        <w:numPr>
          <w:ilvl w:val="0"/>
          <w:numId w:val="1010"/>
        </w:numPr>
        <w:pStyle w:val="Compact"/>
      </w:pPr>
      <w:r>
        <w:rPr>
          <w:b/>
        </w:rPr>
        <w:t xml:space="preserve">Monday:</w:t>
      </w:r>
      <w:r>
        <w:t xml:space="preserve"> </w:t>
      </w:r>
      <w:r>
        <w:t xml:space="preserve">Construction industry —</w:t>
      </w:r>
      <w:r>
        <w:t xml:space="preserve"> </w:t>
      </w:r>
      <w:r>
        <w:t xml:space="preserve">“</w:t>
      </w:r>
      <w:r>
        <w:t xml:space="preserve">Proprietary methods, structural engineering, new material testing — construction companies qualify more often than you’d think.</w:t>
      </w:r>
      <w:r>
        <w:t xml:space="preserve">”</w:t>
      </w:r>
    </w:p>
    <w:p>
      <w:pPr>
        <w:numPr>
          <w:ilvl w:val="0"/>
          <w:numId w:val="1010"/>
        </w:numPr>
        <w:pStyle w:val="Compact"/>
      </w:pPr>
      <w:r>
        <w:rPr>
          <w:b/>
        </w:rPr>
        <w:t xml:space="preserve">Thursday:</w:t>
      </w:r>
      <w:r>
        <w:t xml:space="preserve"> </w:t>
      </w:r>
      <w:r>
        <w:t xml:space="preserve">Amended returns —</w:t>
      </w:r>
      <w:r>
        <w:t xml:space="preserve"> </w:t>
      </w:r>
      <w:r>
        <w:t xml:space="preserve">“</w:t>
      </w:r>
      <w:r>
        <w:t xml:space="preserve">Haven’t claimed R&amp;D credits in past years? You can go back 3 years.</w:t>
      </w:r>
      <w:r>
        <w:t xml:space="preserve">”</w:t>
      </w:r>
    </w:p>
    <w:p>
      <w:pPr>
        <w:pStyle w:val="Heading3"/>
      </w:pPr>
      <w:bookmarkStart w:id="39" w:name="week-6"/>
      <w:r>
        <w:t xml:space="preserve">Week 6</w:t>
      </w:r>
      <w:bookmarkEnd w:id="39"/>
    </w:p>
    <w:p>
      <w:pPr>
        <w:numPr>
          <w:ilvl w:val="0"/>
          <w:numId w:val="1011"/>
        </w:numPr>
        <w:pStyle w:val="Compact"/>
      </w:pPr>
      <w:r>
        <w:rPr>
          <w:b/>
        </w:rPr>
        <w:t xml:space="preserve">Tuesday:</w:t>
      </w:r>
      <w:r>
        <w:t xml:space="preserve"> </w:t>
      </w:r>
      <w:r>
        <w:t xml:space="preserve">CPA partnership post —</w:t>
      </w:r>
      <w:r>
        <w:t xml:space="preserve"> </w:t>
      </w:r>
      <w:r>
        <w:t xml:space="preserve">“</w:t>
      </w:r>
      <w:r>
        <w:t xml:space="preserve">We work alongside CPA firms, not in place of them. Here’s how the partnership works.</w:t>
      </w:r>
      <w:r>
        <w:t xml:space="preserve">”</w:t>
      </w:r>
    </w:p>
    <w:p>
      <w:pPr>
        <w:numPr>
          <w:ilvl w:val="0"/>
          <w:numId w:val="1011"/>
        </w:numPr>
        <w:pStyle w:val="Compact"/>
      </w:pPr>
      <w:r>
        <w:rPr>
          <w:b/>
        </w:rPr>
        <w:t xml:space="preserve">Thursday:</w:t>
      </w:r>
      <w:r>
        <w:t xml:space="preserve"> </w:t>
      </w:r>
      <w:r>
        <w:t xml:space="preserve">Process improvement —</w:t>
      </w:r>
      <w:r>
        <w:t xml:space="preserve"> </w:t>
      </w:r>
      <w:r>
        <w:t xml:space="preserve">“</w:t>
      </w:r>
      <w:r>
        <w:t xml:space="preserve">Improving an existing product or process counts. You don’t need to invent something new.</w:t>
      </w:r>
      <w:r>
        <w:t xml:space="preserve">”</w:t>
      </w:r>
    </w:p>
    <w:p>
      <w:pPr>
        <w:pStyle w:val="Heading3"/>
      </w:pPr>
      <w:bookmarkStart w:id="40" w:name="week-7"/>
      <w:r>
        <w:t xml:space="preserve">Week 7</w:t>
      </w:r>
      <w:bookmarkEnd w:id="40"/>
    </w:p>
    <w:p>
      <w:pPr>
        <w:numPr>
          <w:ilvl w:val="0"/>
          <w:numId w:val="1012"/>
        </w:numPr>
        <w:pStyle w:val="Compact"/>
      </w:pPr>
      <w:r>
        <w:rPr>
          <w:b/>
        </w:rPr>
        <w:t xml:space="preserve">Monday:</w:t>
      </w:r>
      <w:r>
        <w:t xml:space="preserve"> </w:t>
      </w:r>
      <w:r>
        <w:t xml:space="preserve">What a credit study includes —</w:t>
      </w:r>
      <w:r>
        <w:t xml:space="preserve"> </w:t>
      </w:r>
      <w:r>
        <w:t xml:space="preserve">“</w:t>
      </w:r>
      <w:r>
        <w:t xml:space="preserve">Project narratives, QRE analysis, Form 6765 support — what you actually receive.</w:t>
      </w:r>
      <w:r>
        <w:t xml:space="preserve">”</w:t>
      </w:r>
    </w:p>
    <w:p>
      <w:pPr>
        <w:numPr>
          <w:ilvl w:val="0"/>
          <w:numId w:val="1012"/>
        </w:numPr>
        <w:pStyle w:val="Compact"/>
      </w:pPr>
      <w:r>
        <w:rPr>
          <w:b/>
        </w:rPr>
        <w:t xml:space="preserve">Wednesday:</w:t>
      </w:r>
      <w:r>
        <w:t xml:space="preserve"> </w:t>
      </w:r>
      <w:r>
        <w:t xml:space="preserve">Food &amp; beverage —</w:t>
      </w:r>
      <w:r>
        <w:t xml:space="preserve"> </w:t>
      </w:r>
      <w:r>
        <w:t xml:space="preserve">“</w:t>
      </w:r>
      <w:r>
        <w:t xml:space="preserve">New recipes, scaling production, shelf-life testing — F&amp;B companies and R&amp;D credits.</w:t>
      </w:r>
      <w:r>
        <w:t xml:space="preserve">”</w:t>
      </w:r>
    </w:p>
    <w:p>
      <w:pPr>
        <w:pStyle w:val="Heading3"/>
      </w:pPr>
      <w:bookmarkStart w:id="41" w:name="week-8"/>
      <w:r>
        <w:t xml:space="preserve">Week 8</w:t>
      </w:r>
      <w:bookmarkEnd w:id="41"/>
    </w:p>
    <w:p>
      <w:pPr>
        <w:numPr>
          <w:ilvl w:val="0"/>
          <w:numId w:val="1013"/>
        </w:numPr>
        <w:pStyle w:val="Compact"/>
      </w:pPr>
      <w:r>
        <w:rPr>
          <w:b/>
        </w:rPr>
        <w:t xml:space="preserve">Tuesday:</w:t>
      </w:r>
      <w:r>
        <w:t xml:space="preserve"> </w:t>
      </w:r>
      <w:r>
        <w:t xml:space="preserve">Audit defense —</w:t>
      </w:r>
      <w:r>
        <w:t xml:space="preserve"> </w:t>
      </w:r>
      <w:r>
        <w:t xml:space="preserve">“</w:t>
      </w:r>
      <w:r>
        <w:t xml:space="preserve">Every study we prepare is built with the expectation that it may be examined.</w:t>
      </w:r>
      <w:r>
        <w:t xml:space="preserve">”</w:t>
      </w:r>
    </w:p>
    <w:p>
      <w:pPr>
        <w:numPr>
          <w:ilvl w:val="0"/>
          <w:numId w:val="1013"/>
        </w:numPr>
        <w:pStyle w:val="Compact"/>
      </w:pPr>
      <w:r>
        <w:rPr>
          <w:b/>
        </w:rPr>
        <w:t xml:space="preserve">Thursday:</w:t>
      </w:r>
      <w:r>
        <w:t xml:space="preserve"> </w:t>
      </w:r>
      <w:r>
        <w:t xml:space="preserve">Qualifying expenses —</w:t>
      </w:r>
      <w:r>
        <w:t xml:space="preserve"> </w:t>
      </w:r>
      <w:r>
        <w:t xml:space="preserve">“</w:t>
      </w:r>
      <w:r>
        <w:t xml:space="preserve">Wages, supplies, and contractor costs — what the IRS considers qualifying R&amp;D expenditures.</w:t>
      </w:r>
      <w:r>
        <w:t xml:space="preserve">”</w:t>
      </w:r>
    </w:p>
    <w:p>
      <w:pPr>
        <w:pStyle w:val="Heading3"/>
      </w:pPr>
      <w:bookmarkStart w:id="42" w:name="week-9"/>
      <w:r>
        <w:t xml:space="preserve">Week 9</w:t>
      </w:r>
      <w:bookmarkEnd w:id="42"/>
    </w:p>
    <w:p>
      <w:pPr>
        <w:numPr>
          <w:ilvl w:val="0"/>
          <w:numId w:val="1014"/>
        </w:numPr>
        <w:pStyle w:val="Compact"/>
      </w:pPr>
      <w:r>
        <w:rPr>
          <w:b/>
        </w:rPr>
        <w:t xml:space="preserve">Monday:</w:t>
      </w:r>
      <w:r>
        <w:t xml:space="preserve"> </w:t>
      </w:r>
      <w:r>
        <w:t xml:space="preserve">Engineering firms —</w:t>
      </w:r>
      <w:r>
        <w:t xml:space="preserve"> </w:t>
      </w:r>
      <w:r>
        <w:t xml:space="preserve">“</w:t>
      </w:r>
      <w:r>
        <w:t xml:space="preserve">Structural analysis, prototyping, computational modeling — engineering and R&amp;D credits.</w:t>
      </w:r>
      <w:r>
        <w:t xml:space="preserve">”</w:t>
      </w:r>
    </w:p>
    <w:p>
      <w:pPr>
        <w:numPr>
          <w:ilvl w:val="0"/>
          <w:numId w:val="1014"/>
        </w:numPr>
        <w:pStyle w:val="Compact"/>
      </w:pPr>
      <w:r>
        <w:rPr>
          <w:b/>
        </w:rPr>
        <w:t xml:space="preserve">Thursday:</w:t>
      </w:r>
      <w:r>
        <w:t xml:space="preserve"> </w:t>
      </w:r>
      <w:r>
        <w:t xml:space="preserve">The contingency model —</w:t>
      </w:r>
      <w:r>
        <w:t xml:space="preserve"> </w:t>
      </w:r>
      <w:r>
        <w:t xml:space="preserve">“</w:t>
      </w:r>
      <w:r>
        <w:t xml:space="preserve">No credit, no fee. Here’s why we work this way.</w:t>
      </w:r>
      <w:r>
        <w:t xml:space="preserve">”</w:t>
      </w:r>
    </w:p>
    <w:p>
      <w:pPr>
        <w:pStyle w:val="Heading3"/>
      </w:pPr>
      <w:bookmarkStart w:id="43" w:name="week-10"/>
      <w:r>
        <w:t xml:space="preserve">Week 10</w:t>
      </w:r>
      <w:bookmarkEnd w:id="43"/>
    </w:p>
    <w:p>
      <w:pPr>
        <w:numPr>
          <w:ilvl w:val="0"/>
          <w:numId w:val="1015"/>
        </w:numPr>
        <w:pStyle w:val="Compact"/>
      </w:pPr>
      <w:r>
        <w:rPr>
          <w:b/>
        </w:rPr>
        <w:t xml:space="preserve">Tuesday:</w:t>
      </w:r>
      <w:r>
        <w:t xml:space="preserve"> </w:t>
      </w:r>
      <w:r>
        <w:t xml:space="preserve">Startup companies —</w:t>
      </w:r>
      <w:r>
        <w:t xml:space="preserve"> </w:t>
      </w:r>
      <w:r>
        <w:t xml:space="preserve">“</w:t>
      </w:r>
      <w:r>
        <w:t xml:space="preserve">Startups can use R&amp;D credits to offset payroll taxes. Here’s how.</w:t>
      </w:r>
      <w:r>
        <w:t xml:space="preserve">”</w:t>
      </w:r>
    </w:p>
    <w:p>
      <w:pPr>
        <w:numPr>
          <w:ilvl w:val="0"/>
          <w:numId w:val="1015"/>
        </w:numPr>
        <w:pStyle w:val="Compact"/>
      </w:pPr>
      <w:r>
        <w:rPr>
          <w:b/>
        </w:rPr>
        <w:t xml:space="preserve">Thursday:</w:t>
      </w:r>
      <w:r>
        <w:t xml:space="preserve"> </w:t>
      </w:r>
      <w:r>
        <w:t xml:space="preserve">Documentation matters —</w:t>
      </w:r>
      <w:r>
        <w:t xml:space="preserve"> </w:t>
      </w:r>
      <w:r>
        <w:t xml:space="preserve">“</w:t>
      </w:r>
      <w:r>
        <w:t xml:space="preserve">The credit is only as strong as the documentation behind it.</w:t>
      </w:r>
      <w:r>
        <w:t xml:space="preserve">”</w:t>
      </w:r>
    </w:p>
    <w:p>
      <w:pPr>
        <w:pStyle w:val="Heading3"/>
      </w:pPr>
      <w:bookmarkStart w:id="44" w:name="week-11"/>
      <w:r>
        <w:t xml:space="preserve">Week 11</w:t>
      </w:r>
      <w:bookmarkEnd w:id="44"/>
    </w:p>
    <w:p>
      <w:pPr>
        <w:numPr>
          <w:ilvl w:val="0"/>
          <w:numId w:val="1016"/>
        </w:numPr>
        <w:pStyle w:val="Compact"/>
      </w:pPr>
      <w:r>
        <w:rPr>
          <w:b/>
        </w:rPr>
        <w:t xml:space="preserve">Monday:</w:t>
      </w:r>
      <w:r>
        <w:t xml:space="preserve"> </w:t>
      </w:r>
      <w:r>
        <w:t xml:space="preserve">SC economic landscape —</w:t>
      </w:r>
      <w:r>
        <w:t xml:space="preserve"> </w:t>
      </w:r>
      <w:r>
        <w:t xml:space="preserve">“</w:t>
      </w:r>
      <w:r>
        <w:t xml:space="preserve">South Carolina’s growing manufacturing and tech sectors and the R&amp;D incentives designed to support them.</w:t>
      </w:r>
      <w:r>
        <w:t xml:space="preserve">”</w:t>
      </w:r>
    </w:p>
    <w:p>
      <w:pPr>
        <w:numPr>
          <w:ilvl w:val="0"/>
          <w:numId w:val="1016"/>
        </w:numPr>
        <w:pStyle w:val="Compact"/>
      </w:pPr>
      <w:r>
        <w:rPr>
          <w:b/>
        </w:rPr>
        <w:t xml:space="preserve">Wednesday:</w:t>
      </w:r>
      <w:r>
        <w:t xml:space="preserve"> </w:t>
      </w:r>
      <w:r>
        <w:t xml:space="preserve">How CPAs benefit —</w:t>
      </w:r>
      <w:r>
        <w:t xml:space="preserve"> </w:t>
      </w:r>
      <w:r>
        <w:t xml:space="preserve">“</w:t>
      </w:r>
      <w:r>
        <w:t xml:space="preserve">Adding R&amp;D credits to your advisory toolkit without adding to your workload.</w:t>
      </w:r>
      <w:r>
        <w:t xml:space="preserve">”</w:t>
      </w:r>
    </w:p>
    <w:p>
      <w:pPr>
        <w:pStyle w:val="Heading3"/>
      </w:pPr>
      <w:bookmarkStart w:id="45" w:name="week-12"/>
      <w:r>
        <w:t xml:space="preserve">Week 12</w:t>
      </w:r>
      <w:bookmarkEnd w:id="45"/>
    </w:p>
    <w:p>
      <w:pPr>
        <w:numPr>
          <w:ilvl w:val="0"/>
          <w:numId w:val="1017"/>
        </w:numPr>
        <w:pStyle w:val="Compact"/>
      </w:pPr>
      <w:r>
        <w:rPr>
          <w:b/>
        </w:rPr>
        <w:t xml:space="preserve">Tuesday:</w:t>
      </w:r>
      <w:r>
        <w:t xml:space="preserve"> </w:t>
      </w:r>
      <w:r>
        <w:t xml:space="preserve">Year-end planning —</w:t>
      </w:r>
      <w:r>
        <w:t xml:space="preserve"> </w:t>
      </w:r>
      <w:r>
        <w:t xml:space="preserve">“</w:t>
      </w:r>
      <w:r>
        <w:t xml:space="preserve">The best time to evaluate R&amp;D credits is before year-end. Here’s why.</w:t>
      </w:r>
      <w:r>
        <w:t xml:space="preserve">”</w:t>
      </w:r>
    </w:p>
    <w:p>
      <w:pPr>
        <w:numPr>
          <w:ilvl w:val="0"/>
          <w:numId w:val="1017"/>
        </w:numPr>
        <w:pStyle w:val="Compact"/>
      </w:pPr>
      <w:r>
        <w:rPr>
          <w:b/>
        </w:rPr>
        <w:t xml:space="preserve">Thursday:</w:t>
      </w:r>
      <w:r>
        <w:t xml:space="preserve"> </w:t>
      </w:r>
      <w:r>
        <w:t xml:space="preserve">Wrap-up / CTA post —</w:t>
      </w:r>
      <w:r>
        <w:t xml:space="preserve"> </w:t>
      </w:r>
      <w:r>
        <w:t xml:space="preserve">“</w:t>
      </w:r>
      <w:r>
        <w:t xml:space="preserve">If your company is investing in technical development and hasn’t evaluated the credit, it’s worth a conversation.</w:t>
      </w:r>
      <w:r>
        <w:t xml:space="preserve">”</w:t>
      </w:r>
    </w:p>
    <w:p>
      <w:pPr>
        <w:pStyle w:val="Heading3"/>
      </w:pPr>
      <w:bookmarkStart w:id="46" w:name="content-guidelines"/>
      <w:r>
        <w:t xml:space="preserve">Content Guidelines</w:t>
      </w:r>
      <w:bookmarkEnd w:id="46"/>
    </w:p>
    <w:p>
      <w:pPr>
        <w:numPr>
          <w:ilvl w:val="0"/>
          <w:numId w:val="1018"/>
        </w:numPr>
        <w:pStyle w:val="Compact"/>
      </w:pPr>
      <w:r>
        <w:t xml:space="preserve">Keep posts under 1,300 characters for optimal engagement (LinkedIn truncates at ~210 characters with</w:t>
      </w:r>
      <w:r>
        <w:t xml:space="preserve"> </w:t>
      </w:r>
      <w:r>
        <w:t xml:space="preserve">“</w:t>
      </w:r>
      <w:r>
        <w:t xml:space="preserve">see more</w:t>
      </w:r>
      <w:r>
        <w:t xml:space="preserve">”</w:t>
      </w:r>
      <w:r>
        <w:t xml:space="preserve">)</w:t>
      </w:r>
    </w:p>
    <w:p>
      <w:pPr>
        <w:numPr>
          <w:ilvl w:val="0"/>
          <w:numId w:val="1018"/>
        </w:numPr>
        <w:pStyle w:val="Compact"/>
      </w:pPr>
      <w:r>
        <w:t xml:space="preserve">Lead with a hook in the first line — a surprising fact, bold statement, or direct value proposition</w:t>
      </w:r>
    </w:p>
    <w:p>
      <w:pPr>
        <w:numPr>
          <w:ilvl w:val="0"/>
          <w:numId w:val="1018"/>
        </w:numPr>
        <w:pStyle w:val="Compact"/>
      </w:pPr>
      <w:r>
        <w:t xml:space="preserve">End every post with</w:t>
      </w:r>
      <w:r>
        <w:t xml:space="preserve"> </w:t>
      </w:r>
      <w:r>
        <w:t xml:space="preserve">“</w:t>
      </w:r>
      <w:r>
        <w:t xml:space="preserve">alexanderandblake.com</w:t>
      </w:r>
      <w:r>
        <w:t xml:space="preserve">”</w:t>
      </w:r>
      <w:r>
        <w:t xml:space="preserve"> </w:t>
      </w:r>
      <w:r>
        <w:t xml:space="preserve">— no hard CTA, just the URL</w:t>
      </w:r>
    </w:p>
    <w:p>
      <w:pPr>
        <w:numPr>
          <w:ilvl w:val="0"/>
          <w:numId w:val="1018"/>
        </w:numPr>
        <w:pStyle w:val="Compact"/>
      </w:pPr>
      <w:r>
        <w:t xml:space="preserve">Use em dashes (—) for bullet points, not bullet characters</w:t>
      </w:r>
    </w:p>
    <w:p>
      <w:pPr>
        <w:numPr>
          <w:ilvl w:val="0"/>
          <w:numId w:val="1018"/>
        </w:numPr>
        <w:pStyle w:val="Compact"/>
      </w:pPr>
      <w:r>
        <w:t xml:space="preserve">No hashtags in the first comment — add 3–5 relevant hashtags in a separate first comment (#RDTaxCredit #SouthCarolina #Manufacturing #TaxStrategy #SmallBusiness)</w:t>
      </w:r>
    </w:p>
    <w:p>
      <w:pPr>
        <w:numPr>
          <w:ilvl w:val="0"/>
          <w:numId w:val="1018"/>
        </w:numPr>
        <w:pStyle w:val="Compact"/>
      </w:pPr>
      <w:r>
        <w:t xml:space="preserve">Post between 7–9 AM EST Tuesday–Thursday for peak engagement</w:t>
      </w:r>
    </w:p>
    <w:p>
      <w:r>
        <w:pict>
          <v:rect style="width:0;height:1.5pt" o:hralign="center" o:hrstd="t" o:hr="t"/>
        </w:pict>
      </w:r>
    </w:p>
    <w:p>
      <w:pPr>
        <w:pStyle w:val="Heading2"/>
      </w:pPr>
      <w:bookmarkStart w:id="47" w:name="industry-events-trade-associations"/>
      <w:r>
        <w:t xml:space="preserve">4. Industry Events &amp; Trade Associations</w:t>
      </w:r>
      <w:bookmarkEnd w:id="47"/>
    </w:p>
    <w:p>
      <w:pPr>
        <w:pStyle w:val="Heading3"/>
      </w:pPr>
      <w:bookmarkStart w:id="48" w:name="must-attend-events"/>
      <w:r>
        <w:t xml:space="preserve">Must-Attend Events</w:t>
      </w:r>
      <w:bookmarkEnd w:id="48"/>
    </w:p>
    <w:p>
      <w:pPr>
        <w:pStyle w:val="FirstParagraph"/>
      </w:pPr>
      <w:r>
        <w:rPr>
          <w:b/>
        </w:rPr>
        <w:t xml:space="preserve">SC Manufacturing Conference &amp; Expo</w:t>
      </w:r>
      <w:r>
        <w:t xml:space="preserve"> </w:t>
      </w:r>
      <w:r>
        <w:t xml:space="preserve">- When: November 17–19, 2026</w:t>
      </w:r>
      <w:r>
        <w:t xml:space="preserve"> </w:t>
      </w:r>
      <w:r>
        <w:t xml:space="preserve">- Where: Greenville, SC</w:t>
      </w:r>
      <w:r>
        <w:t xml:space="preserve"> </w:t>
      </w:r>
      <w:r>
        <w:t xml:space="preserve">- Why: 1,400+ manufacturing professionals — executives, plant managers, engineers. Your single highest-value event.</w:t>
      </w:r>
      <w:r>
        <w:t xml:space="preserve"> </w:t>
      </w:r>
      <w:r>
        <w:t xml:space="preserve">- Action: Attend, network, collect business cards. Consider sponsoring a session on R&amp;D credits for manufacturers in future years.</w:t>
      </w:r>
      <w:r>
        <w:t xml:space="preserve"> </w:t>
      </w:r>
      <w:r>
        <w:t xml:space="preserve">- Website: scmanufacturingconference.com</w:t>
      </w:r>
    </w:p>
    <w:p>
      <w:pPr>
        <w:pStyle w:val="BodyText"/>
      </w:pPr>
      <w:r>
        <w:rPr>
          <w:b/>
        </w:rPr>
        <w:t xml:space="preserve">SEUS-CP Conference (Southeast US-Canadian Provinces)</w:t>
      </w:r>
      <w:r>
        <w:t xml:space="preserve"> </w:t>
      </w:r>
      <w:r>
        <w:t xml:space="preserve">- When: June 21–23, 2026</w:t>
      </w:r>
      <w:r>
        <w:t xml:space="preserve"> </w:t>
      </w:r>
      <w:r>
        <w:t xml:space="preserve">- Where: Greenville, SC</w:t>
      </w:r>
      <w:r>
        <w:t xml:space="preserve"> </w:t>
      </w:r>
      <w:r>
        <w:t xml:space="preserve">- Why: Small/mid-size manufacturers, distributors, tech providers. Supply chain focus with procurement leaders from major companies.</w:t>
      </w:r>
      <w:r>
        <w:t xml:space="preserve"> </w:t>
      </w:r>
      <w:r>
        <w:t xml:space="preserve">- Action: Attend and network with manufacturer attendees.</w:t>
      </w:r>
    </w:p>
    <w:p>
      <w:pPr>
        <w:pStyle w:val="BodyText"/>
      </w:pPr>
      <w:r>
        <w:rPr>
          <w:b/>
        </w:rPr>
        <w:t xml:space="preserve">SC Manufacturers Alliance (SCMA) Events</w:t>
      </w:r>
      <w:r>
        <w:t xml:space="preserve"> </w:t>
      </w:r>
      <w:r>
        <w:t xml:space="preserve">- When: Monthly events throughout 2026 (April–August confirmed)</w:t>
      </w:r>
      <w:r>
        <w:t xml:space="preserve"> </w:t>
      </w:r>
      <w:r>
        <w:t xml:space="preserve">- Where: Columbia, Spartanburg, Greenville</w:t>
      </w:r>
      <w:r>
        <w:t xml:space="preserve"> </w:t>
      </w:r>
      <w:r>
        <w:t xml:space="preserve">- Why: Regular touchpoints with SC manufacturing community.</w:t>
      </w:r>
      <w:r>
        <w:t xml:space="preserve"> </w:t>
      </w:r>
      <w:r>
        <w:t xml:space="preserve">- Action: Join SCMA. Attend monthly events. Build relationships over time.</w:t>
      </w:r>
      <w:r>
        <w:t xml:space="preserve"> </w:t>
      </w:r>
      <w:r>
        <w:t xml:space="preserve">- Website: myscmc.org</w:t>
      </w:r>
    </w:p>
    <w:p>
      <w:pPr>
        <w:pStyle w:val="BodyText"/>
      </w:pPr>
      <w:r>
        <w:rPr>
          <w:b/>
        </w:rPr>
        <w:t xml:space="preserve">Charleston Tech Week</w:t>
      </w:r>
      <w:r>
        <w:t xml:space="preserve"> </w:t>
      </w:r>
      <w:r>
        <w:t xml:space="preserve">- When: Annual (check charlestontechweek.com for 2026 dates)</w:t>
      </w:r>
      <w:r>
        <w:t xml:space="preserve"> </w:t>
      </w:r>
      <w:r>
        <w:t xml:space="preserve">- Where: Charleston, SC</w:t>
      </w:r>
      <w:r>
        <w:t xml:space="preserve"> </w:t>
      </w:r>
      <w:r>
        <w:t xml:space="preserve">- Why: Tech, entrepreneurship, and innovation community. Software company prospects.</w:t>
      </w:r>
      <w:r>
        <w:t xml:space="preserve"> </w:t>
      </w:r>
      <w:r>
        <w:t xml:space="preserve">- Action: Attend Product Tank, 1 Million Cups, and networking events.</w:t>
      </w:r>
    </w:p>
    <w:p>
      <w:pPr>
        <w:pStyle w:val="Heading3"/>
      </w:pPr>
      <w:bookmarkStart w:id="49" w:name="chambers-of-commerce"/>
      <w:r>
        <w:t xml:space="preserve">Chambers of Commerce</w:t>
      </w:r>
      <w:bookmarkEnd w:id="49"/>
    </w:p>
    <w:p>
      <w:pPr>
        <w:pStyle w:val="FirstParagraph"/>
      </w:pPr>
      <w:r>
        <w:t xml:space="preserve">Join at least one chamber in each region you’re targeting:</w:t>
      </w:r>
    </w:p>
    <w:p>
      <w:pPr>
        <w:numPr>
          <w:ilvl w:val="0"/>
          <w:numId w:val="1019"/>
        </w:numPr>
        <w:pStyle w:val="Compact"/>
      </w:pPr>
      <w:r>
        <w:t xml:space="preserve">Greenville Chamber of Commerce — greenvillechamber.org</w:t>
      </w:r>
    </w:p>
    <w:p>
      <w:pPr>
        <w:numPr>
          <w:ilvl w:val="0"/>
          <w:numId w:val="1019"/>
        </w:numPr>
        <w:pStyle w:val="Compact"/>
      </w:pPr>
      <w:r>
        <w:t xml:space="preserve">Charleston Metro Chamber of Commerce — charlestonchamber.org</w:t>
      </w:r>
    </w:p>
    <w:p>
      <w:pPr>
        <w:numPr>
          <w:ilvl w:val="0"/>
          <w:numId w:val="1019"/>
        </w:numPr>
        <w:pStyle w:val="Compact"/>
      </w:pPr>
      <w:r>
        <w:t xml:space="preserve">Columbia Chamber of Commerce — columbiachamber.com</w:t>
      </w:r>
    </w:p>
    <w:p>
      <w:pPr>
        <w:pStyle w:val="FirstParagraph"/>
      </w:pPr>
      <w:r>
        <w:t xml:space="preserve">Attend monthly networking events. Most chambers have</w:t>
      </w:r>
      <w:r>
        <w:t xml:space="preserve"> </w:t>
      </w:r>
      <w:r>
        <w:t xml:space="preserve">“</w:t>
      </w:r>
      <w:r>
        <w:t xml:space="preserve">Business After Hours</w:t>
      </w:r>
      <w:r>
        <w:t xml:space="preserve">”</w:t>
      </w:r>
      <w:r>
        <w:t xml:space="preserve"> </w:t>
      </w:r>
      <w:r>
        <w:t xml:space="preserve">or similar mixers. The goal is to be known locally before you pitch.</w:t>
      </w:r>
    </w:p>
    <w:p>
      <w:pPr>
        <w:pStyle w:val="Heading3"/>
      </w:pPr>
      <w:bookmarkStart w:id="50" w:name="trade-associations-to-join-or-monitor"/>
      <w:r>
        <w:t xml:space="preserve">Trade Associations to Join or Monitor</w:t>
      </w:r>
      <w:bookmarkEnd w:id="50"/>
    </w:p>
    <w:p>
      <w:pPr>
        <w:numPr>
          <w:ilvl w:val="0"/>
          <w:numId w:val="1020"/>
        </w:numPr>
        <w:pStyle w:val="Compact"/>
      </w:pPr>
      <w:r>
        <w:t xml:space="preserve">SC Manufacturers Alliance (SCMA) — myscmc.org</w:t>
      </w:r>
    </w:p>
    <w:p>
      <w:pPr>
        <w:numPr>
          <w:ilvl w:val="0"/>
          <w:numId w:val="1020"/>
        </w:numPr>
        <w:pStyle w:val="Compact"/>
      </w:pPr>
      <w:r>
        <w:t xml:space="preserve">SC Association of CPAs (SCACPA) — sc.cpa</w:t>
      </w:r>
    </w:p>
    <w:p>
      <w:pPr>
        <w:numPr>
          <w:ilvl w:val="0"/>
          <w:numId w:val="1020"/>
        </w:numPr>
        <w:pStyle w:val="Compact"/>
      </w:pPr>
      <w:r>
        <w:t xml:space="preserve">SC Technology and Aviation Association</w:t>
      </w:r>
    </w:p>
    <w:p>
      <w:pPr>
        <w:numPr>
          <w:ilvl w:val="0"/>
          <w:numId w:val="1020"/>
        </w:numPr>
        <w:pStyle w:val="Compact"/>
      </w:pPr>
      <w:r>
        <w:t xml:space="preserve">Charleston Regional Development Alliance</w:t>
      </w:r>
    </w:p>
    <w:p>
      <w:pPr>
        <w:numPr>
          <w:ilvl w:val="0"/>
          <w:numId w:val="1020"/>
        </w:numPr>
        <w:pStyle w:val="Compact"/>
      </w:pPr>
      <w:r>
        <w:t xml:space="preserve">Greenville Area Development Corporation</w:t>
      </w:r>
    </w:p>
    <w:p>
      <w:r>
        <w:pict>
          <v:rect style="width:0;height:1.5pt" o:hralign="center" o:hrstd="t" o:hr="t"/>
        </w:pict>
      </w:r>
    </w:p>
    <w:p>
      <w:pPr>
        <w:pStyle w:val="Heading2"/>
      </w:pPr>
      <w:bookmarkStart w:id="51" w:name="cpe-presentation-strategy"/>
      <w:r>
        <w:t xml:space="preserve">5. CPE Presentation Strategy</w:t>
      </w:r>
      <w:bookmarkEnd w:id="51"/>
    </w:p>
    <w:p>
      <w:pPr>
        <w:pStyle w:val="Heading3"/>
      </w:pPr>
      <w:bookmarkStart w:id="52" w:name="the-opportunity"/>
      <w:r>
        <w:t xml:space="preserve">The Opportunity</w:t>
      </w:r>
      <w:bookmarkEnd w:id="52"/>
    </w:p>
    <w:p>
      <w:pPr>
        <w:pStyle w:val="FirstParagraph"/>
      </w:pPr>
      <w:r>
        <w:t xml:space="preserve">CPAs need 40 hours of continuing professional education (CPE) annually. Offering a free 1–2 hour CPE session on R&amp;D tax credits positions you as the expert and gives CPAs something they need — education hours.</w:t>
      </w:r>
    </w:p>
    <w:p>
      <w:pPr>
        <w:pStyle w:val="Heading3"/>
      </w:pPr>
      <w:bookmarkStart w:id="53" w:name="how-to-pitch-it"/>
      <w:r>
        <w:t xml:space="preserve">How to Pitch It</w:t>
      </w:r>
      <w:bookmarkEnd w:id="53"/>
    </w:p>
    <w:p>
      <w:pPr>
        <w:pStyle w:val="FirstParagraph"/>
      </w:pPr>
      <w:r>
        <w:t xml:space="preserve">Contact the managing partner or CPE coordinator at target firms and SCACPA chapter leaders.</w:t>
      </w:r>
    </w:p>
    <w:p>
      <w:pPr>
        <w:pStyle w:val="BodyText"/>
      </w:pPr>
      <w:r>
        <w:t xml:space="preserve">Email template:</w:t>
      </w:r>
    </w:p>
    <w:p>
      <w:pPr>
        <w:pStyle w:val="BodyText"/>
      </w:pPr>
      <w:r>
        <w:t xml:space="preserve">Subject: Complimentary CPE Session — R&amp;D Tax Credits for CPA Firms</w:t>
      </w:r>
    </w:p>
    <w:p>
      <w:pPr>
        <w:pStyle w:val="BodyText"/>
      </w:pPr>
      <w:r>
        <w:t xml:space="preserve">Good morning,</w:t>
      </w:r>
    </w:p>
    <w:p>
      <w:pPr>
        <w:pStyle w:val="BodyText"/>
      </w:pPr>
      <w:r>
        <w:t xml:space="preserve">I’d like to offer your team a complimentary 1-hour CPE session on R&amp;D tax credits — specifically focused on how CPA firms can identify qualifying clients and what a well-supported credit study looks like.</w:t>
      </w:r>
    </w:p>
    <w:p>
      <w:pPr>
        <w:pStyle w:val="BodyText"/>
      </w:pPr>
      <w:r>
        <w:t xml:space="preserve">The session covers:</w:t>
      </w:r>
    </w:p>
    <w:p>
      <w:pPr>
        <w:pStyle w:val="BodyText"/>
      </w:pPr>
      <w:r>
        <w:t xml:space="preserve">— The IRS four-part test and how to spot qualifying activities in your client base</w:t>
      </w:r>
      <w:r>
        <w:t xml:space="preserve"> </w:t>
      </w:r>
      <w:r>
        <w:t xml:space="preserve">— Industries with the highest qualification rates in South Carolina</w:t>
      </w:r>
      <w:r>
        <w:t xml:space="preserve"> </w:t>
      </w:r>
      <w:r>
        <w:t xml:space="preserve">— Common documentation pitfalls that create audit risk</w:t>
      </w:r>
      <w:r>
        <w:t xml:space="preserve"> </w:t>
      </w:r>
      <w:r>
        <w:t xml:space="preserve">— How the federal and SC state credits interact</w:t>
      </w:r>
      <w:r>
        <w:t xml:space="preserve"> </w:t>
      </w:r>
      <w:r>
        <w:t xml:space="preserve">— What a completed credit study includes and how it integrates with filing</w:t>
      </w:r>
    </w:p>
    <w:p>
      <w:pPr>
        <w:pStyle w:val="BodyText"/>
      </w:pPr>
      <w:r>
        <w:t xml:space="preserve">This is educational, not a sales pitch. The goal is to help your team recognize opportunities for your existing clients. If some of those clients could benefit from a specialist engagement, we’re happy to discuss that separately.</w:t>
      </w:r>
    </w:p>
    <w:p>
      <w:pPr>
        <w:pStyle w:val="BodyText"/>
      </w:pPr>
      <w:r>
        <w:t xml:space="preserve">Would this be useful for your team? I can work around your schedule — lunch-and-learn format works well.</w:t>
      </w:r>
    </w:p>
    <w:p>
      <w:pPr>
        <w:pStyle w:val="BodyText"/>
      </w:pPr>
      <w:r>
        <w:t xml:space="preserve">Regards,</w:t>
      </w:r>
      <w:r>
        <w:t xml:space="preserve"> </w:t>
      </w:r>
      <w:r>
        <w:t xml:space="preserve">D.G.</w:t>
      </w:r>
      <w:r>
        <w:t xml:space="preserve"> </w:t>
      </w:r>
      <w:r>
        <w:t xml:space="preserve">Managing Director</w:t>
      </w:r>
      <w:r>
        <w:t xml:space="preserve"> </w:t>
      </w:r>
      <w:r>
        <w:t xml:space="preserve">Alexander &amp; Blake</w:t>
      </w:r>
      <w:r>
        <w:t xml:space="preserve"> </w:t>
      </w:r>
      <w:r>
        <w:t xml:space="preserve">alexanderandblake.com | dg@alexanderandblake.com</w:t>
      </w:r>
    </w:p>
    <w:p>
      <w:pPr>
        <w:pStyle w:val="Heading3"/>
      </w:pPr>
      <w:bookmarkStart w:id="54" w:name="scacpa-chapter-presentations"/>
      <w:r>
        <w:t xml:space="preserve">SCACPA Chapter Presentations</w:t>
      </w:r>
      <w:bookmarkEnd w:id="54"/>
    </w:p>
    <w:p>
      <w:pPr>
        <w:pStyle w:val="FirstParagraph"/>
      </w:pPr>
      <w:r>
        <w:t xml:space="preserve">Contact SCACPA (sc.cpa) about presenting at a chapter meeting or regional event. Offer to present on</w:t>
      </w:r>
      <w:r>
        <w:t xml:space="preserve"> </w:t>
      </w:r>
      <w:r>
        <w:t xml:space="preserve">“</w:t>
      </w:r>
      <w:r>
        <w:t xml:space="preserve">Identifying R&amp;D Tax Credit Opportunities in Your Client Base.</w:t>
      </w:r>
      <w:r>
        <w:t xml:space="preserve">”</w:t>
      </w:r>
      <w:r>
        <w:t xml:space="preserve"> </w:t>
      </w:r>
      <w:r>
        <w:t xml:space="preserve">This gets you in front of 20–50 CPAs at once.</w:t>
      </w:r>
    </w:p>
    <w:p>
      <w:r>
        <w:pict>
          <v:rect style="width:0;height:1.5pt" o:hralign="center" o:hrstd="t" o:hr="t"/>
        </w:pict>
      </w:r>
    </w:p>
    <w:p>
      <w:pPr>
        <w:pStyle w:val="Heading2"/>
      </w:pPr>
      <w:bookmarkStart w:id="55" w:name="referral-program-framework"/>
      <w:r>
        <w:t xml:space="preserve">6. Referral Program Framework</w:t>
      </w:r>
      <w:bookmarkEnd w:id="55"/>
    </w:p>
    <w:p>
      <w:pPr>
        <w:pStyle w:val="Heading3"/>
      </w:pPr>
      <w:bookmarkStart w:id="56" w:name="structure"/>
      <w:r>
        <w:t xml:space="preserve">Structure</w:t>
      </w:r>
      <w:bookmarkEnd w:id="56"/>
    </w:p>
    <w:p>
      <w:pPr>
        <w:pStyle w:val="FirstParagraph"/>
      </w:pPr>
      <w:r>
        <w:t xml:space="preserve">Once you have 3–5 completed engagements, introduce a formal referral program for CPA firms.</w:t>
      </w:r>
    </w:p>
    <w:p>
      <w:pPr>
        <w:pStyle w:val="Heading3"/>
      </w:pPr>
      <w:bookmarkStart w:id="57" w:name="recommended-terms"/>
      <w:r>
        <w:t xml:space="preserve">Recommended Terms</w:t>
      </w:r>
      <w:bookmarkEnd w:id="57"/>
    </w:p>
    <w:p>
      <w:pPr>
        <w:numPr>
          <w:ilvl w:val="0"/>
          <w:numId w:val="1021"/>
        </w:numPr>
        <w:pStyle w:val="Compact"/>
      </w:pPr>
      <w:r>
        <w:t xml:space="preserve">Referral fee: 10–15% of the advisory fee for each referred engagement that results in a completed credit study</w:t>
      </w:r>
    </w:p>
    <w:p>
      <w:pPr>
        <w:numPr>
          <w:ilvl w:val="0"/>
          <w:numId w:val="1021"/>
        </w:numPr>
        <w:pStyle w:val="Compact"/>
      </w:pPr>
      <w:r>
        <w:t xml:space="preserve">Paid upon client payment (not upon engagement signing)</w:t>
      </w:r>
    </w:p>
    <w:p>
      <w:pPr>
        <w:numPr>
          <w:ilvl w:val="0"/>
          <w:numId w:val="1021"/>
        </w:numPr>
        <w:pStyle w:val="Compact"/>
      </w:pPr>
      <w:r>
        <w:t xml:space="preserve">No exclusivity required — firms can refer to other specialists as well</w:t>
      </w:r>
    </w:p>
    <w:p>
      <w:pPr>
        <w:numPr>
          <w:ilvl w:val="0"/>
          <w:numId w:val="1021"/>
        </w:numPr>
        <w:pStyle w:val="Compact"/>
      </w:pPr>
      <w:r>
        <w:t xml:space="preserve">Referral agreement documented in a simple one-page letter</w:t>
      </w:r>
    </w:p>
    <w:p>
      <w:pPr>
        <w:pStyle w:val="Heading3"/>
      </w:pPr>
      <w:bookmarkStart w:id="58" w:name="how-to-position-it"/>
      <w:r>
        <w:t xml:space="preserve">How to Position It</w:t>
      </w:r>
      <w:bookmarkEnd w:id="58"/>
    </w:p>
    <w:p>
      <w:pPr>
        <w:pStyle w:val="FirstParagraph"/>
      </w:pPr>
      <w:r>
        <w:t xml:space="preserve">Don’t lead with the referral fee in initial conversations. Build the relationship first. Once a CPA firm has referred 1–2 clients and seen the quality of work, introduce the referral program as a formalization of the partnership.</w:t>
      </w:r>
    </w:p>
    <w:p>
      <w:pPr>
        <w:pStyle w:val="BodyText"/>
      </w:pPr>
      <w:r>
        <w:t xml:space="preserve">Talking points:</w:t>
      </w:r>
    </w:p>
    <w:p>
      <w:pPr>
        <w:pStyle w:val="BodyText"/>
      </w:pPr>
      <w:r>
        <w:t xml:space="preserve">“</w:t>
      </w:r>
      <w:r>
        <w:t xml:space="preserve">We’ve been working well together on [client name]’s engagement, and I wanted to formalize our partnership. We offer a referral fee of [X]% for each engagement that results in a completed study. It’s our way of recognizing the trust your firm places in us and the value of the introduction.</w:t>
      </w:r>
      <w:r>
        <w:t xml:space="preserve">”</w:t>
      </w:r>
    </w:p>
    <w:p>
      <w:pPr>
        <w:pStyle w:val="Heading3"/>
      </w:pPr>
      <w:bookmarkStart w:id="59" w:name="legal-considerations"/>
      <w:r>
        <w:t xml:space="preserve">Legal Considerations</w:t>
      </w:r>
      <w:bookmarkEnd w:id="59"/>
    </w:p>
    <w:p>
      <w:pPr>
        <w:numPr>
          <w:ilvl w:val="0"/>
          <w:numId w:val="1022"/>
        </w:numPr>
        <w:pStyle w:val="Compact"/>
      </w:pPr>
      <w:r>
        <w:t xml:space="preserve">Referral fees between advisory firms and CPAs are generally permissible but may be subject to state CPA board rules. Confirm SC-specific rules with legal counsel.</w:t>
      </w:r>
    </w:p>
    <w:p>
      <w:pPr>
        <w:numPr>
          <w:ilvl w:val="0"/>
          <w:numId w:val="1022"/>
        </w:numPr>
        <w:pStyle w:val="Compact"/>
      </w:pPr>
      <w:r>
        <w:t xml:space="preserve">Document all referral agreements in writing.</w:t>
      </w:r>
    </w:p>
    <w:p>
      <w:pPr>
        <w:numPr>
          <w:ilvl w:val="0"/>
          <w:numId w:val="1022"/>
        </w:numPr>
        <w:pStyle w:val="Compact"/>
      </w:pPr>
      <w:r>
        <w:t xml:space="preserve">Ensure transparency — clients should know that a referral relationship exists if required by applicable standards.</w:t>
      </w:r>
    </w:p>
    <w:p>
      <w:r>
        <w:pict>
          <v:rect style="width:0;height:1.5pt" o:hralign="center" o:hrstd="t" o:hr="t"/>
        </w:pict>
      </w:r>
    </w:p>
    <w:p>
      <w:pPr>
        <w:pStyle w:val="Heading2"/>
      </w:pPr>
      <w:bookmarkStart w:id="60" w:name="outreach-timeline-first-12-weeks"/>
      <w:r>
        <w:t xml:space="preserve">7. Outreach Timeline — First 12 Weeks</w:t>
      </w:r>
      <w:bookmarkEnd w:id="60"/>
    </w:p>
    <w:p>
      <w:pPr>
        <w:pStyle w:val="Heading3"/>
      </w:pPr>
      <w:bookmarkStart w:id="61" w:name="weeks-12-foundation"/>
      <w:r>
        <w:t xml:space="preserve">Weeks 1–2: Foundation</w:t>
      </w:r>
      <w:bookmarkEnd w:id="61"/>
    </w:p>
    <w:p>
      <w:pPr>
        <w:numPr>
          <w:ilvl w:val="0"/>
          <w:numId w:val="1023"/>
        </w:numPr>
        <w:pStyle w:val="Compact"/>
      </w:pPr>
      <w:r>
        <w:t xml:space="preserve">Set up dg@alexanderandblake.com email</w:t>
      </w:r>
    </w:p>
    <w:p>
      <w:pPr>
        <w:numPr>
          <w:ilvl w:val="0"/>
          <w:numId w:val="1023"/>
        </w:numPr>
        <w:pStyle w:val="Compact"/>
      </w:pPr>
      <w:r>
        <w:t xml:space="preserve">Configure email signature with branded header</w:t>
      </w:r>
    </w:p>
    <w:p>
      <w:pPr>
        <w:numPr>
          <w:ilvl w:val="0"/>
          <w:numId w:val="1023"/>
        </w:numPr>
        <w:pStyle w:val="Compact"/>
      </w:pPr>
      <w:r>
        <w:t xml:space="preserve">Publish LinkedIn company page with overview, cover image, and profile picture</w:t>
      </w:r>
    </w:p>
    <w:p>
      <w:pPr>
        <w:numPr>
          <w:ilvl w:val="0"/>
          <w:numId w:val="1023"/>
        </w:numPr>
        <w:pStyle w:val="Compact"/>
      </w:pPr>
      <w:r>
        <w:t xml:space="preserve">Post first LinkedIn post (introductory post)</w:t>
      </w:r>
    </w:p>
    <w:p>
      <w:pPr>
        <w:numPr>
          <w:ilvl w:val="0"/>
          <w:numId w:val="1023"/>
        </w:numPr>
        <w:pStyle w:val="Compact"/>
      </w:pPr>
      <w:r>
        <w:t xml:space="preserve">Send initial outreach emails to 5 Upstate CPA firms</w:t>
      </w:r>
    </w:p>
    <w:p>
      <w:pPr>
        <w:pStyle w:val="Heading3"/>
      </w:pPr>
      <w:bookmarkStart w:id="62" w:name="weeks-34-expand-outreach"/>
      <w:r>
        <w:t xml:space="preserve">Weeks 3–4: Expand Outreach</w:t>
      </w:r>
      <w:bookmarkEnd w:id="62"/>
    </w:p>
    <w:p>
      <w:pPr>
        <w:numPr>
          <w:ilvl w:val="0"/>
          <w:numId w:val="1024"/>
        </w:numPr>
        <w:pStyle w:val="Compact"/>
      </w:pPr>
      <w:r>
        <w:t xml:space="preserve">Send initial outreach to 5 Midlands CPA firms</w:t>
      </w:r>
    </w:p>
    <w:p>
      <w:pPr>
        <w:numPr>
          <w:ilvl w:val="0"/>
          <w:numId w:val="1024"/>
        </w:numPr>
        <w:pStyle w:val="Compact"/>
      </w:pPr>
      <w:r>
        <w:t xml:space="preserve">Send follow-up emails to Upstate firms (if no response)</w:t>
      </w:r>
    </w:p>
    <w:p>
      <w:pPr>
        <w:numPr>
          <w:ilvl w:val="0"/>
          <w:numId w:val="1024"/>
        </w:numPr>
        <w:pStyle w:val="Compact"/>
      </w:pPr>
      <w:r>
        <w:t xml:space="preserve">Post 2x per week on LinkedIn</w:t>
      </w:r>
    </w:p>
    <w:p>
      <w:pPr>
        <w:numPr>
          <w:ilvl w:val="0"/>
          <w:numId w:val="1024"/>
        </w:numPr>
        <w:pStyle w:val="Compact"/>
      </w:pPr>
      <w:r>
        <w:t xml:space="preserve">Begin direct outreach to 5–10 manufacturing companies via LinkedIn</w:t>
      </w:r>
    </w:p>
    <w:p>
      <w:pPr>
        <w:numPr>
          <w:ilvl w:val="0"/>
          <w:numId w:val="1024"/>
        </w:numPr>
        <w:pStyle w:val="Compact"/>
      </w:pPr>
      <w:r>
        <w:t xml:space="preserve">Join Greenville Chamber of Commerce</w:t>
      </w:r>
    </w:p>
    <w:p>
      <w:pPr>
        <w:pStyle w:val="Heading3"/>
      </w:pPr>
      <w:bookmarkStart w:id="63" w:name="weeks-56-widen-the-net"/>
      <w:r>
        <w:t xml:space="preserve">Weeks 5–6: Widen the Net</w:t>
      </w:r>
      <w:bookmarkEnd w:id="63"/>
    </w:p>
    <w:p>
      <w:pPr>
        <w:numPr>
          <w:ilvl w:val="0"/>
          <w:numId w:val="1025"/>
        </w:numPr>
        <w:pStyle w:val="Compact"/>
      </w:pPr>
      <w:r>
        <w:t xml:space="preserve">Send initial outreach to 5 Lowcountry CPA firms</w:t>
      </w:r>
    </w:p>
    <w:p>
      <w:pPr>
        <w:numPr>
          <w:ilvl w:val="0"/>
          <w:numId w:val="1025"/>
        </w:numPr>
        <w:pStyle w:val="Compact"/>
      </w:pPr>
      <w:r>
        <w:t xml:space="preserve">Send follow-ups to Midlands firms</w:t>
      </w:r>
    </w:p>
    <w:p>
      <w:pPr>
        <w:numPr>
          <w:ilvl w:val="0"/>
          <w:numId w:val="1025"/>
        </w:numPr>
        <w:pStyle w:val="Compact"/>
      </w:pPr>
      <w:r>
        <w:t xml:space="preserve">Continue LinkedIn posting cadence</w:t>
      </w:r>
    </w:p>
    <w:p>
      <w:pPr>
        <w:numPr>
          <w:ilvl w:val="0"/>
          <w:numId w:val="1025"/>
        </w:numPr>
        <w:pStyle w:val="Compact"/>
      </w:pPr>
      <w:r>
        <w:t xml:space="preserve">Direct outreach to software companies and engineering firms</w:t>
      </w:r>
    </w:p>
    <w:p>
      <w:pPr>
        <w:numPr>
          <w:ilvl w:val="0"/>
          <w:numId w:val="1025"/>
        </w:numPr>
        <w:pStyle w:val="Compact"/>
      </w:pPr>
      <w:r>
        <w:t xml:space="preserve">Attend first chamber networking event</w:t>
      </w:r>
    </w:p>
    <w:p>
      <w:pPr>
        <w:pStyle w:val="Heading3"/>
      </w:pPr>
      <w:bookmarkStart w:id="64" w:name="weeks-78-deepen-relationships"/>
      <w:r>
        <w:t xml:space="preserve">Weeks 7–8: Deepen Relationships</w:t>
      </w:r>
      <w:bookmarkEnd w:id="64"/>
    </w:p>
    <w:p>
      <w:pPr>
        <w:numPr>
          <w:ilvl w:val="0"/>
          <w:numId w:val="1026"/>
        </w:numPr>
        <w:pStyle w:val="Compact"/>
      </w:pPr>
      <w:r>
        <w:t xml:space="preserve">Second follow-up to non-responsive firms (final touch)</w:t>
      </w:r>
    </w:p>
    <w:p>
      <w:pPr>
        <w:numPr>
          <w:ilvl w:val="0"/>
          <w:numId w:val="1026"/>
        </w:numPr>
        <w:pStyle w:val="Compact"/>
      </w:pPr>
      <w:r>
        <w:t xml:space="preserve">Pitch CPE session to 2–3 responsive CPA firms</w:t>
      </w:r>
    </w:p>
    <w:p>
      <w:pPr>
        <w:numPr>
          <w:ilvl w:val="0"/>
          <w:numId w:val="1026"/>
        </w:numPr>
        <w:pStyle w:val="Compact"/>
      </w:pPr>
      <w:r>
        <w:t xml:space="preserve">Pitch SCACPA chapter presentation</w:t>
      </w:r>
    </w:p>
    <w:p>
      <w:pPr>
        <w:numPr>
          <w:ilvl w:val="0"/>
          <w:numId w:val="1026"/>
        </w:numPr>
        <w:pStyle w:val="Compact"/>
      </w:pPr>
      <w:r>
        <w:t xml:space="preserve">Continue LinkedIn content</w:t>
      </w:r>
    </w:p>
    <w:p>
      <w:pPr>
        <w:numPr>
          <w:ilvl w:val="0"/>
          <w:numId w:val="1026"/>
        </w:numPr>
        <w:pStyle w:val="Compact"/>
      </w:pPr>
      <w:r>
        <w:t xml:space="preserve">Begin outreach to Coast firms</w:t>
      </w:r>
    </w:p>
    <w:p>
      <w:pPr>
        <w:pStyle w:val="Heading3"/>
      </w:pPr>
      <w:bookmarkStart w:id="65" w:name="weeks-910-build-momentum"/>
      <w:r>
        <w:t xml:space="preserve">Weeks 9–10: Build Momentum</w:t>
      </w:r>
      <w:bookmarkEnd w:id="65"/>
    </w:p>
    <w:p>
      <w:pPr>
        <w:numPr>
          <w:ilvl w:val="0"/>
          <w:numId w:val="1027"/>
        </w:numPr>
        <w:pStyle w:val="Compact"/>
      </w:pPr>
      <w:r>
        <w:t xml:space="preserve">Deliver first CPE session (if scheduled)</w:t>
      </w:r>
    </w:p>
    <w:p>
      <w:pPr>
        <w:numPr>
          <w:ilvl w:val="0"/>
          <w:numId w:val="1027"/>
        </w:numPr>
        <w:pStyle w:val="Compact"/>
      </w:pPr>
      <w:r>
        <w:t xml:space="preserve">Continue direct business outreach</w:t>
      </w:r>
    </w:p>
    <w:p>
      <w:pPr>
        <w:numPr>
          <w:ilvl w:val="0"/>
          <w:numId w:val="1027"/>
        </w:numPr>
        <w:pStyle w:val="Compact"/>
      </w:pPr>
      <w:r>
        <w:t xml:space="preserve">Attend SCMA event (if available)</w:t>
      </w:r>
    </w:p>
    <w:p>
      <w:pPr>
        <w:numPr>
          <w:ilvl w:val="0"/>
          <w:numId w:val="1027"/>
        </w:numPr>
        <w:pStyle w:val="Compact"/>
      </w:pPr>
      <w:r>
        <w:t xml:space="preserve">LinkedIn content continues — shift toward industry-specific posts based on what’s getting engagement</w:t>
      </w:r>
    </w:p>
    <w:p>
      <w:pPr>
        <w:pStyle w:val="Heading3"/>
      </w:pPr>
      <w:bookmarkStart w:id="66" w:name="weeks-1112-assess-and-adjust"/>
      <w:r>
        <w:t xml:space="preserve">Weeks 11–12: Assess and Adjust</w:t>
      </w:r>
      <w:bookmarkEnd w:id="66"/>
    </w:p>
    <w:p>
      <w:pPr>
        <w:numPr>
          <w:ilvl w:val="0"/>
          <w:numId w:val="1028"/>
        </w:numPr>
        <w:pStyle w:val="Compact"/>
      </w:pPr>
      <w:r>
        <w:t xml:space="preserve">Review results: emails sent, responses received, conversations held, engagements started</w:t>
      </w:r>
    </w:p>
    <w:p>
      <w:pPr>
        <w:numPr>
          <w:ilvl w:val="0"/>
          <w:numId w:val="1028"/>
        </w:numPr>
        <w:pStyle w:val="Compact"/>
      </w:pPr>
      <w:r>
        <w:t xml:space="preserve">Double down on what’s working (which region, which industry, which channel)</w:t>
      </w:r>
    </w:p>
    <w:p>
      <w:pPr>
        <w:numPr>
          <w:ilvl w:val="0"/>
          <w:numId w:val="1028"/>
        </w:numPr>
        <w:pStyle w:val="Compact"/>
      </w:pPr>
      <w:r>
        <w:t xml:space="preserve">Plan next quarter’s strategy</w:t>
      </w:r>
    </w:p>
    <w:p>
      <w:pPr>
        <w:numPr>
          <w:ilvl w:val="0"/>
          <w:numId w:val="1028"/>
        </w:numPr>
        <w:pStyle w:val="Compact"/>
      </w:pPr>
      <w:r>
        <w:t xml:space="preserve">Register for SC Manufacturing Conference (November)</w:t>
      </w:r>
    </w:p>
    <w:p>
      <w:pPr>
        <w:numPr>
          <w:ilvl w:val="0"/>
          <w:numId w:val="1028"/>
        </w:numPr>
        <w:pStyle w:val="Compact"/>
      </w:pPr>
      <w:r>
        <w:t xml:space="preserve">Consider SCACPA event presentation for fall</w:t>
      </w:r>
    </w:p>
    <w:p>
      <w:r>
        <w:pict>
          <v:rect style="width:0;height:1.5pt" o:hralign="center" o:hrstd="t" o:hr="t"/>
        </w:pict>
      </w:r>
    </w:p>
    <w:p>
      <w:pPr>
        <w:pStyle w:val="Heading2"/>
      </w:pPr>
      <w:bookmarkStart w:id="67" w:name="key-metrics-to-track"/>
      <w:r>
        <w:t xml:space="preserve">8. Key Metrics to Track</w:t>
      </w:r>
      <w:bookmarkEnd w:id="67"/>
    </w:p>
    <w:p>
      <w:pPr>
        <w:numPr>
          <w:ilvl w:val="0"/>
          <w:numId w:val="1029"/>
        </w:numPr>
        <w:pStyle w:val="Compact"/>
      </w:pPr>
      <w:r>
        <w:t xml:space="preserve">Emails sent per week</w:t>
      </w:r>
    </w:p>
    <w:p>
      <w:pPr>
        <w:numPr>
          <w:ilvl w:val="0"/>
          <w:numId w:val="1029"/>
        </w:numPr>
        <w:pStyle w:val="Compact"/>
      </w:pPr>
      <w:r>
        <w:t xml:space="preserve">Response rate (target: 10–15% for CPA outreach, 5–8% for direct)</w:t>
      </w:r>
    </w:p>
    <w:p>
      <w:pPr>
        <w:numPr>
          <w:ilvl w:val="0"/>
          <w:numId w:val="1029"/>
        </w:numPr>
        <w:pStyle w:val="Compact"/>
      </w:pPr>
      <w:r>
        <w:t xml:space="preserve">Conversations held (15-min calls)</w:t>
      </w:r>
    </w:p>
    <w:p>
      <w:pPr>
        <w:numPr>
          <w:ilvl w:val="0"/>
          <w:numId w:val="1029"/>
        </w:numPr>
        <w:pStyle w:val="Compact"/>
      </w:pPr>
      <w:r>
        <w:t xml:space="preserve">Proposals / engagement letters sent</w:t>
      </w:r>
    </w:p>
    <w:p>
      <w:pPr>
        <w:numPr>
          <w:ilvl w:val="0"/>
          <w:numId w:val="1029"/>
        </w:numPr>
        <w:pStyle w:val="Compact"/>
      </w:pPr>
      <w:r>
        <w:t xml:space="preserve">Engagements signed</w:t>
      </w:r>
    </w:p>
    <w:p>
      <w:pPr>
        <w:numPr>
          <w:ilvl w:val="0"/>
          <w:numId w:val="1029"/>
        </w:numPr>
        <w:pStyle w:val="Compact"/>
      </w:pPr>
      <w:r>
        <w:t xml:space="preserve">LinkedIn post impressions and engagement rate</w:t>
      </w:r>
    </w:p>
    <w:p>
      <w:pPr>
        <w:numPr>
          <w:ilvl w:val="0"/>
          <w:numId w:val="1029"/>
        </w:numPr>
        <w:pStyle w:val="Compact"/>
      </w:pPr>
      <w:r>
        <w:t xml:space="preserve">Website traffic from LinkedIn and email campaigns</w:t>
      </w:r>
    </w:p>
    <w:p>
      <w:pPr>
        <w:numPr>
          <w:ilvl w:val="0"/>
          <w:numId w:val="1029"/>
        </w:numPr>
        <w:pStyle w:val="Compact"/>
      </w:pPr>
      <w:r>
        <w:t xml:space="preserve">Referrals received (by source)</w:t>
      </w:r>
    </w:p>
    <w:p>
      <w:r>
        <w:pict>
          <v:rect style="width:0;height:1.5pt" o:hralign="center" o:hrstd="t" o:hr="t"/>
        </w:pict>
      </w:r>
    </w:p>
    <w:p>
      <w:pPr>
        <w:pStyle w:val="Heading2"/>
      </w:pPr>
      <w:bookmarkStart w:id="68" w:name="summary"/>
      <w:r>
        <w:t xml:space="preserve">Summary</w:t>
      </w:r>
      <w:bookmarkEnd w:id="68"/>
    </w:p>
    <w:p>
      <w:pPr>
        <w:pStyle w:val="FirstParagraph"/>
      </w:pPr>
      <w:r>
        <w:t xml:space="preserve">The first 90 days are about relationships, not volume. Land 2–3 CPA partnerships and 3–5 direct engagements in the first quarter. Deliver exceptional work. Let the referrals build from there.</w:t>
      </w:r>
    </w:p>
    <w:p>
      <w:pPr>
        <w:pStyle w:val="BodyText"/>
      </w:pPr>
      <w:r>
        <w:t xml:space="preserve">Prioritize in this order:</w:t>
      </w:r>
    </w:p>
    <w:p>
      <w:pPr>
        <w:numPr>
          <w:ilvl w:val="0"/>
          <w:numId w:val="1030"/>
        </w:numPr>
        <w:pStyle w:val="Compact"/>
      </w:pPr>
      <w:r>
        <w:t xml:space="preserve">CPA firm outreach (Upstate first)</w:t>
      </w:r>
    </w:p>
    <w:p>
      <w:pPr>
        <w:numPr>
          <w:ilvl w:val="0"/>
          <w:numId w:val="1030"/>
        </w:numPr>
        <w:pStyle w:val="Compact"/>
      </w:pPr>
      <w:r>
        <w:t xml:space="preserve">LinkedIn content (consistent, educational, authoritative)</w:t>
      </w:r>
    </w:p>
    <w:p>
      <w:pPr>
        <w:numPr>
          <w:ilvl w:val="0"/>
          <w:numId w:val="1030"/>
        </w:numPr>
        <w:pStyle w:val="Compact"/>
      </w:pPr>
      <w:r>
        <w:t xml:space="preserve">Direct business outreach (manufacturing, then software)</w:t>
      </w:r>
    </w:p>
    <w:p>
      <w:pPr>
        <w:numPr>
          <w:ilvl w:val="0"/>
          <w:numId w:val="1030"/>
        </w:numPr>
        <w:pStyle w:val="Compact"/>
      </w:pPr>
      <w:r>
        <w:t xml:space="preserve">CPE presentations (once you have responsive CPA relationships)</w:t>
      </w:r>
    </w:p>
    <w:p>
      <w:pPr>
        <w:numPr>
          <w:ilvl w:val="0"/>
          <w:numId w:val="1030"/>
        </w:numPr>
        <w:pStyle w:val="Compact"/>
      </w:pPr>
      <w:r>
        <w:t xml:space="preserve">Industry events (attend, don’t sponsor yet)</w:t>
      </w:r>
    </w:p>
    <w:p>
      <w:pPr>
        <w:numPr>
          <w:ilvl w:val="0"/>
          <w:numId w:val="1030"/>
        </w:numPr>
        <w:pStyle w:val="Compact"/>
      </w:pPr>
      <w:r>
        <w:t xml:space="preserve">Referral program (formalize after first few successful engagements)</w:t>
      </w:r>
    </w:p>
    <w:p>
      <w:r>
        <w:pict>
          <v:rect style="width:0;height:1.5pt" o:hralign="center" o:hrstd="t" o:hr="t"/>
        </w:pict>
      </w:r>
    </w:p>
    <w:p>
      <w:pPr>
        <w:pStyle w:val="FirstParagraph"/>
      </w:pPr>
      <w:r>
        <w:t xml:space="preserve">Alexander &amp; Blake | R&amp;D Tax Credit Advisory</w:t>
      </w:r>
      <w:r>
        <w:t xml:space="preserve"> </w:t>
      </w:r>
      <w:r>
        <w:t xml:space="preserve">alexanderandblake.com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2026-04-24T20:36:57Z</dcterms:created>
  <dcterms:modified xsi:type="dcterms:W3CDTF">2026-04-24T20:36:57Z</dcterms:modified>
</cp:coreProperties>
</file>

<file path=docProps/custom.xml><?xml version="1.0" encoding="utf-8"?>
<Properties xmlns="http://schemas.openxmlformats.org/officeDocument/2006/custom-properties" xmlns:vt="http://schemas.openxmlformats.org/officeDocument/2006/docPropsVTypes"/>
</file>