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00" w:before="400"/>
        <w:rPr>
          <w:rFonts w:ascii="맑은 고딕" w:eastAsia="맑은 고딕" w:hAnsi="맑은 고딕" w:hint="default"/>
          <w:b/>
          <w:bCs/>
          <w:sz w:val="24"/>
          <w:szCs w:val="24"/>
        </w:rPr>
      </w:pPr>
      <w:r>
        <w:rPr>
          <w:rFonts w:ascii="맑은 고딕" w:eastAsia="맑은 고딕" w:hAnsi="맑은 고딕" w:cs="맑은 고딕"/>
          <w:b/>
          <w:bCs/>
          <w:color w:val="595959"/>
          <w:sz w:val="24"/>
          <w:szCs w:val="24"/>
        </w:rPr>
        <w:t>제12회 DB금융투자 GAPS 투자대회</w:t>
      </w:r>
    </w:p>
    <w:p>
      <w:pPr>
        <w:jc w:val="center"/>
        <w:spacing w:after="100" w:before="100"/>
        <w:rPr>
          <w:rFonts w:ascii="맑은 고딕" w:eastAsia="맑은 고딕" w:hAnsi="맑은 고딕" w:hint="default"/>
          <w:b/>
          <w:bCs/>
          <w:sz w:val="24"/>
          <w:szCs w:val="24"/>
        </w:rPr>
      </w:pPr>
      <w:r>
        <w:rPr>
          <w:lang w:eastAsia="ko-KR"/>
          <w:rFonts w:ascii="맑은 고딕" w:eastAsia="맑은 고딕" w:hAnsi="맑은 고딕" w:cs="맑은 고딕"/>
          <w:b/>
          <w:bCs/>
          <w:color w:val="1F3864"/>
          <w:sz w:val="24"/>
          <w:szCs w:val="24"/>
          <w:rtl w:val="off"/>
        </w:rPr>
        <w:t>6월</w:t>
      </w:r>
      <w:r>
        <w:rPr>
          <w:rFonts w:ascii="맑은 고딕" w:eastAsia="맑은 고딕" w:hAnsi="맑은 고딕" w:cs="맑은 고딕"/>
          <w:b/>
          <w:bCs/>
          <w:color w:val="1F3864"/>
          <w:sz w:val="24"/>
          <w:szCs w:val="24"/>
        </w:rPr>
        <w:t xml:space="preserve"> 운용보고서</w:t>
      </w:r>
    </w:p>
    <w:p>
      <w:pPr>
        <w:jc w:val="right"/>
        <w:spacing w:after="600" w:before="100"/>
        <w:rPr>
          <w:lang w:eastAsia="ko-KR"/>
          <w:rFonts w:ascii="맑은 고딕" w:eastAsia="맑은 고딕" w:hAnsi="맑은 고딕" w:cs="맑은 고딕" w:hint="eastAsia"/>
          <w:b/>
          <w:bCs/>
          <w:sz w:val="24"/>
          <w:szCs w:val="24"/>
          <w:rtl w:val="off"/>
        </w:rPr>
      </w:pPr>
      <w:r>
        <w:rPr>
          <w:rFonts w:ascii="맑은 고딕" w:eastAsia="맑은 고딕" w:hAnsi="맑은 고딕" w:cs="맑은 고딕"/>
          <w:b/>
          <w:bCs/>
          <w:sz w:val="24"/>
          <w:szCs w:val="24"/>
        </w:rPr>
        <w:t>Correlation팀 (팀원: 송호빈, 이혜원, 박준하)</w:t>
      </w:r>
    </w:p>
    <w:p>
      <w:pPr>
        <w:pStyle w:val="Heading1"/>
        <w:rPr>
          <w:rFonts w:ascii="맑은 고딕" w:eastAsia="맑은 고딕" w:hAnsi="맑은 고딕" w:hint="default"/>
          <w:sz w:val="20"/>
          <w:szCs w:val="20"/>
        </w:rPr>
      </w:pPr>
      <w:r>
        <w:rPr>
          <w:rFonts w:ascii="맑은 고딕" w:eastAsia="맑은 고딕" w:hAnsi="맑은 고딕" w:cs="맑은 고딕"/>
          <w:b/>
          <w:bCs/>
          <w:color w:val="1F3864"/>
          <w:sz w:val="20"/>
          <w:szCs w:val="20"/>
        </w:rPr>
        <w:t>1. 수익률 자체 평가</w:t>
      </w: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6월 성과: -2.16%</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Correlation팀의 6월 누적 수익률은 -2.16%다. 이 결과를 시장 환경 탓으로 귀인하지 않으며, 투자계획서에서 제시한 핵심 원칙인 '데이터 기반 판단과 감정 배제'에 따라 세 가지 전략적 실패 원인을 명확히 진단하고, 이를 7월 전략 전환의 근거로 삼는다.</w:t>
      </w:r>
    </w:p>
    <w:p>
      <w:pPr>
        <w:jc w:val="both"/>
        <w:spacing w:after="80" w:before="80"/>
        <w:rPr>
          <w:lang w:eastAsia="ko-KR"/>
          <w:rFonts w:ascii="맑은 고딕" w:eastAsia="맑은 고딕" w:hAnsi="맑은 고딕" w:cs="맑은 고딕" w:hint="eastAsia"/>
          <w:b w:val="0"/>
          <w:bCs w:val="0"/>
          <w:sz w:val="20"/>
          <w:szCs w:val="20"/>
          <w:rtl w:val="off"/>
        </w:rPr>
      </w:pPr>
    </w:p>
    <w:p>
      <w:pPr>
        <w:spacing w:after="60" w:before="140"/>
        <w:rPr>
          <w:rFonts w:ascii="맑은 고딕" w:eastAsia="맑은 고딕" w:hAnsi="맑은 고딕" w:hint="default"/>
        </w:rPr>
      </w:pPr>
      <w:r>
        <w:rPr>
          <w:rFonts w:ascii="맑은 고딕" w:eastAsia="맑은 고딕" w:hAnsi="맑은 고딕" w:cs="맑은 고딕"/>
          <w:b/>
          <w:bCs/>
          <w:color w:val="2E4F8C"/>
          <w:sz w:val="20"/>
          <w:szCs w:val="20"/>
        </w:rPr>
        <w:t>■ 포트폴리오 성과에 영향을 준 자산군 및 상품 분석</w:t>
      </w: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① 수익 기여 — 달러SOFR (양호)</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달러SOFR ETF는 SOFR(미국 익일 담보대출 금리) 연동 이자 수익과 원달러 환율 상승에 따른 환차익을 동시에 제공하였다. 6월 원달러 환율이 1,560원대를 상회하며 당초 투자계획서 Model C 예측(5월 기준 +4점, 달러 강세)이 적중하여 달러 자산에서의 수익이 전체 수익률 방어에 기여하였다.</w:t>
      </w:r>
    </w:p>
    <w:p>
      <w:pPr>
        <w:spacing w:after="40" w:before="40"/>
        <w:rPr>
          <w:rFonts w:ascii="맑은 고딕" w:eastAsia="맑은 고딕" w:hAnsi="맑은 고딕" w:hint="default"/>
        </w:rPr>
      </w:pP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② 수익률 부진 — 국내</w:t>
      </w:r>
      <w:r>
        <w:rPr>
          <w:lang w:eastAsia="ko-KR"/>
          <w:rFonts w:ascii="맑은 고딕" w:eastAsia="맑은 고딕" w:hAnsi="맑은 고딕" w:cs="맑은 고딕"/>
          <w:b/>
          <w:bCs/>
          <w:sz w:val="20"/>
          <w:szCs w:val="20"/>
          <w:rtl w:val="off"/>
        </w:rPr>
        <w:t>, 미국 지수 및 국내 반도체 관련</w:t>
      </w:r>
      <w:r>
        <w:rPr>
          <w:rFonts w:ascii="맑은 고딕" w:eastAsia="맑은 고딕" w:hAnsi="맑은 고딕" w:cs="맑은 고딕"/>
          <w:b/>
          <w:bCs/>
          <w:sz w:val="20"/>
          <w:szCs w:val="20"/>
        </w:rPr>
        <w:t xml:space="preserve"> ETF (</w:t>
      </w:r>
      <w:r>
        <w:rPr>
          <w:lang w:eastAsia="ko-KR"/>
          <w:rFonts w:ascii="맑은 고딕" w:eastAsia="맑은 고딕" w:hAnsi="맑은 고딕" w:cs="맑은 고딕"/>
          <w:b/>
          <w:bCs/>
          <w:sz w:val="20"/>
          <w:szCs w:val="20"/>
          <w:rtl w:val="off"/>
        </w:rPr>
        <w:t>양호</w:t>
      </w:r>
      <w:r>
        <w:rPr>
          <w:rFonts w:ascii="맑은 고딕" w:eastAsia="맑은 고딕" w:hAnsi="맑은 고딕" w:cs="맑은 고딕"/>
          <w:b/>
          <w:bCs/>
          <w:sz w:val="20"/>
          <w:szCs w:val="20"/>
        </w:rPr>
        <w:t>)</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투자계획서의 핵심 보유 자산인 KODEX 반도체, TIGER 미국나스닥100 등에서</w:t>
      </w:r>
      <w:r>
        <w:rPr>
          <w:lang w:eastAsia="ko-KR"/>
          <w:rFonts w:ascii="맑은 고딕" w:eastAsia="맑은 고딕" w:hAnsi="맑은 고딕" w:cs="맑은 고딕"/>
          <w:b w:val="0"/>
          <w:bCs w:val="0"/>
          <w:sz w:val="20"/>
          <w:szCs w:val="20"/>
          <w:rtl w:val="off"/>
        </w:rPr>
        <w:t xml:space="preserve"> 수익은 났으나,</w:t>
      </w:r>
      <w:r>
        <w:rPr>
          <w:rFonts w:ascii="맑은 고딕" w:eastAsia="맑은 고딕" w:hAnsi="맑은 고딕" w:cs="맑은 고딕"/>
          <w:b w:val="0"/>
          <w:bCs w:val="0"/>
          <w:sz w:val="20"/>
          <w:szCs w:val="20"/>
        </w:rPr>
        <w:t xml:space="preserve"> 기대 대비 낮은 수익률이 나타났다. </w:t>
      </w:r>
      <w:r>
        <w:rPr>
          <w:lang w:eastAsia="ko-KR"/>
          <w:rFonts w:ascii="맑은 고딕" w:eastAsia="맑은 고딕" w:hAnsi="맑은 고딕" w:cs="맑은 고딕"/>
          <w:b w:val="0"/>
          <w:bCs w:val="0"/>
          <w:sz w:val="20"/>
          <w:szCs w:val="20"/>
          <w:rtl w:val="off"/>
        </w:rPr>
        <w:t xml:space="preserve">그 이유로는 </w:t>
      </w:r>
      <w:r>
        <w:rPr>
          <w:rFonts w:ascii="맑은 고딕" w:eastAsia="맑은 고딕" w:hAnsi="맑은 고딕" w:cs="맑은 고딕"/>
          <w:b w:val="0"/>
          <w:bCs w:val="0"/>
          <w:sz w:val="20"/>
          <w:szCs w:val="20"/>
        </w:rPr>
        <w:t xml:space="preserve">6월 중 </w:t>
      </w:r>
      <w:r>
        <w:rPr>
          <w:lang w:eastAsia="ko-KR"/>
          <w:rFonts w:ascii="맑은 고딕" w:eastAsia="맑은 고딕" w:hAnsi="맑은 고딕" w:cs="맑은 고딕"/>
          <w:b w:val="0"/>
          <w:bCs w:val="0"/>
          <w:sz w:val="20"/>
          <w:szCs w:val="20"/>
          <w:rtl w:val="off"/>
        </w:rPr>
        <w:t xml:space="preserve">전반적으로 시장의 변동성이 극심하여, </w:t>
      </w:r>
      <w:r>
        <w:rPr>
          <w:rFonts w:ascii="맑은 고딕" w:eastAsia="맑은 고딕" w:hAnsi="맑은 고딕" w:cs="맑은 고딕"/>
          <w:b w:val="0"/>
          <w:bCs w:val="0"/>
          <w:sz w:val="20"/>
          <w:szCs w:val="20"/>
        </w:rPr>
        <w:t xml:space="preserve">볼린저밴드 기반 분할매도 전략이 역효과를 냈다. </w:t>
      </w:r>
      <w:r>
        <w:rPr>
          <w:lang w:eastAsia="ko-KR"/>
          <w:rFonts w:ascii="맑은 고딕" w:eastAsia="맑은 고딕" w:hAnsi="맑은 고딕" w:cs="맑은 고딕"/>
          <w:b w:val="0"/>
          <w:bCs w:val="0"/>
          <w:sz w:val="20"/>
          <w:szCs w:val="20"/>
          <w:rtl w:val="off"/>
        </w:rPr>
        <w:t xml:space="preserve">주당 </w:t>
      </w:r>
      <w:r>
        <w:rPr>
          <w:rFonts w:ascii="맑은 고딕" w:eastAsia="맑은 고딕" w:hAnsi="맑은 고딕" w:cs="맑은 고딕"/>
          <w:b w:val="0"/>
          <w:bCs w:val="0"/>
          <w:sz w:val="20"/>
          <w:szCs w:val="20"/>
        </w:rPr>
        <w:t>가격이 볼린저밴드</w:t>
      </w:r>
      <w:r>
        <w:rPr>
          <w:lang w:eastAsia="ko-KR"/>
          <w:rFonts w:ascii="맑은 고딕" w:eastAsia="맑은 고딕" w:hAnsi="맑은 고딕" w:cs="맑은 고딕"/>
          <w:b w:val="0"/>
          <w:bCs w:val="0"/>
          <w:sz w:val="20"/>
          <w:szCs w:val="20"/>
          <w:rtl w:val="off"/>
        </w:rPr>
        <w:t xml:space="preserve">에 이미 상단에 도달한 경우가 일별 가격으로 이 원칙을 집행하여 </w:t>
      </w:r>
      <w:r>
        <w:rPr>
          <w:rFonts w:ascii="맑은 고딕" w:eastAsia="맑은 고딕" w:hAnsi="맑은 고딕" w:cs="맑은 고딕"/>
          <w:b w:val="0"/>
          <w:bCs w:val="0"/>
          <w:sz w:val="20"/>
          <w:szCs w:val="20"/>
        </w:rPr>
        <w:t xml:space="preserve">기계적으로 30% 분할매도를 실행하였으나, 이후 가격이 </w:t>
      </w:r>
      <w:r>
        <w:rPr>
          <w:lang w:eastAsia="ko-KR"/>
          <w:rFonts w:ascii="맑은 고딕" w:eastAsia="맑은 고딕" w:hAnsi="맑은 고딕" w:cs="맑은 고딕"/>
          <w:b w:val="0"/>
          <w:bCs w:val="0"/>
          <w:sz w:val="20"/>
          <w:szCs w:val="20"/>
          <w:rtl w:val="off"/>
        </w:rPr>
        <w:t xml:space="preserve">밴드 기준으로 중간선을 강하게 뚫고 내려가거나, 또는 강하게 뚫고 올라가 손절로 인한 손실이 누적되는 동시에 </w:t>
      </w:r>
      <w:r>
        <w:rPr>
          <w:rFonts w:ascii="맑은 고딕" w:eastAsia="맑은 고딕" w:hAnsi="맑은 고딕" w:cs="맑은 고딕"/>
          <w:b w:val="0"/>
          <w:bCs w:val="0"/>
          <w:sz w:val="20"/>
          <w:szCs w:val="20"/>
        </w:rPr>
        <w:t xml:space="preserve">재매수 타이밍을 반복적으로 놓쳤다. 그 결과 6월 중 회전율이 200%를 초과하는 잦은 매매가 발생하였음에도 실질 수익률은 </w:t>
      </w:r>
      <w:r>
        <w:rPr>
          <w:lang w:eastAsia="ko-KR"/>
          <w:rFonts w:ascii="맑은 고딕" w:eastAsia="맑은 고딕" w:hAnsi="맑은 고딕" w:cs="맑은 고딕"/>
          <w:b w:val="0"/>
          <w:bCs w:val="0"/>
          <w:sz w:val="20"/>
          <w:szCs w:val="20"/>
          <w:rtl w:val="off"/>
        </w:rPr>
        <w:t>높지 않은</w:t>
      </w:r>
      <w:r>
        <w:rPr>
          <w:rFonts w:ascii="맑은 고딕" w:eastAsia="맑은 고딕" w:hAnsi="맑은 고딕" w:cs="맑은 고딕"/>
          <w:b w:val="0"/>
          <w:bCs w:val="0"/>
          <w:sz w:val="20"/>
          <w:szCs w:val="20"/>
        </w:rPr>
        <w:t xml:space="preserve"> 역설적 결과가 나타났다.</w:t>
      </w:r>
    </w:p>
    <w:p>
      <w:pPr>
        <w:spacing w:after="40" w:before="40"/>
        <w:rPr>
          <w:rFonts w:ascii="맑은 고딕" w:eastAsia="맑은 고딕" w:hAnsi="맑은 고딕" w:hint="default"/>
        </w:rPr>
      </w:pP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③ Track B — 방산·조선·원자력 (</w:t>
      </w:r>
      <w:r>
        <w:rPr>
          <w:lang w:eastAsia="ko-KR"/>
          <w:rFonts w:ascii="맑은 고딕" w:eastAsia="맑은 고딕" w:hAnsi="맑은 고딕" w:cs="맑은 고딕"/>
          <w:b/>
          <w:bCs/>
          <w:sz w:val="20"/>
          <w:szCs w:val="20"/>
          <w:rtl w:val="off"/>
        </w:rPr>
        <w:t>반복적 손절로 인한 손실</w:t>
      </w:r>
      <w:r>
        <w:rPr>
          <w:rFonts w:ascii="맑은 고딕" w:eastAsia="맑은 고딕" w:hAnsi="맑은 고딕" w:cs="맑은 고딕"/>
          <w:b/>
          <w:bCs/>
          <w:sz w:val="20"/>
          <w:szCs w:val="20"/>
        </w:rPr>
        <w:t>)</w:t>
      </w:r>
    </w:p>
    <w:p>
      <w:pPr>
        <w:jc w:val="both"/>
        <w:spacing w:after="60" w:before="6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 xml:space="preserve">투자계획서 </w:t>
      </w:r>
      <w:r>
        <w:rPr>
          <w:lang w:eastAsia="ko-KR"/>
          <w:rFonts w:ascii="맑은 고딕" w:eastAsia="맑은 고딕" w:hAnsi="맑은 고딕" w:cs="맑은 고딕"/>
          <w:b w:val="0"/>
          <w:bCs w:val="0"/>
          <w:sz w:val="20"/>
          <w:szCs w:val="20"/>
          <w:rtl w:val="off"/>
        </w:rPr>
        <w:t xml:space="preserve"> </w:t>
      </w:r>
      <w:r>
        <w:rPr>
          <w:rFonts w:ascii="맑은 고딕" w:eastAsia="맑은 고딕" w:hAnsi="맑은 고딕" w:cs="맑은 고딕"/>
          <w:b w:val="0"/>
          <w:bCs w:val="0"/>
          <w:sz w:val="20"/>
          <w:szCs w:val="20"/>
        </w:rPr>
        <w:t>설계한 투트랙 전략의 Track B(방산·조선·원자력)는 독립 드라이버로서의 기능을 수행하지 못하였다. 이란 MOU 협상 진전으로 2026년 6월 18일 WTI 유가가 -5.82% 급락하며 지정학 프리미엄이 일부 소멸되었고(출처: Bloomberg, https://www.bloomberg.com), 동시에 6월 23일 코스피가 역대 최대 하락폭인 -9.99%를 기록하는 과정</w:t>
      </w:r>
      <w:r>
        <w:rPr>
          <w:lang w:eastAsia="ko-KR"/>
          <w:rFonts w:ascii="맑은 고딕" w:eastAsia="맑은 고딕" w:hAnsi="맑은 고딕" w:cs="맑은 고딕"/>
          <w:b w:val="0"/>
          <w:bCs w:val="0"/>
          <w:sz w:val="20"/>
          <w:szCs w:val="20"/>
          <w:rtl w:val="off"/>
        </w:rPr>
        <w:t xml:space="preserve"> 등 반복적인 하락에서 </w:t>
      </w:r>
      <w:r>
        <w:rPr>
          <w:rFonts w:ascii="맑은 고딕" w:eastAsia="맑은 고딕" w:hAnsi="맑은 고딕" w:cs="맑은 고딕"/>
          <w:b w:val="0"/>
          <w:bCs w:val="0"/>
          <w:sz w:val="20"/>
          <w:szCs w:val="20"/>
        </w:rPr>
        <w:t>섹터 ETF들이 동반 하락하며 투자계획서에서 제시한 독립 드라이버 논리(K방산 vs VIX 상관계수 0.000)가 단기 수급 왜곡 앞에 무력화되었다.</w:t>
      </w:r>
      <w:r>
        <w:rPr>
          <w:lang w:eastAsia="ko-KR"/>
          <w:rFonts w:ascii="맑은 고딕" w:eastAsia="맑은 고딕" w:hAnsi="맑은 고딕" w:cs="맑은 고딕"/>
          <w:b w:val="0"/>
          <w:bCs w:val="0"/>
          <w:sz w:val="20"/>
          <w:szCs w:val="20"/>
          <w:rtl w:val="off"/>
        </w:rPr>
        <w:t xml:space="preserve"> 수출 기업위주로 강달러 추세에서 좋은 수익성을 기대하였으나, 극심한 하락 이후 손실의 탄력적인 회복을 위해 대부분의 투자자들이  해당 섹터에서 상대적으로 높은 탄력성을 보이는 반도체 섹터로 자금이 이동되는 바, 반도체를 제외한 다른 ETF에는 수급이 들어오지 않아 지속적으로 가격이 하락하였다.  </w:t>
      </w:r>
    </w:p>
    <w:p>
      <w:pPr>
        <w:jc w:val="both"/>
        <w:spacing w:after="60" w:before="60"/>
        <w:rPr>
          <w:rFonts w:ascii="맑은 고딕" w:eastAsia="맑은 고딕" w:hAnsi="맑은 고딕" w:hint="default"/>
        </w:rPr>
      </w:pP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④ 금현물 — 헷징 기능 약화</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투자계획서 Model D에서 금의 4중 수혜 구조(인플레 헷징·지정학 수요·중앙은행 매입·GCR 상승)를 제시하고 핵심 방어 자산으로 편입하였다. 그러나 6월 18일 FOMC에서 연내 금리 인상을 시사하는 매파적 점도표가 공개되면서(2026년 PCE 전망 2.7%→3.6% 상향, 근원 PCE 2.7%→3.3% 상향, 출처: Federal Reserve, https://www.federalreserve.gov) 금리 인상 구간의 달러 강세 및 실질금리 상승이 금의 기회비용을 확대시켜 가격 하방 압력으로 작용하였다. 또한 현재 시장에서는 미국 빅테크 기업들의 회사채 발행 및 유상증자 등 AI 투자를 위한 자금 조달이 활발히 이루어지면서 유동성이 금보다 반도체·AI 주식시장으로 흡수되는 구조가 고착화되고 있어, 금이 안전자산으로서의 역할을 충분히 수행하지 못하고 있다고 판단하였다.</w:t>
      </w:r>
    </w:p>
    <w:p>
      <w:pPr>
        <w:spacing w:after="60" w:before="140"/>
        <w:rPr>
          <w:lang w:eastAsia="ko-KR"/>
          <w:rFonts w:ascii="맑은 고딕" w:eastAsia="맑은 고딕" w:hAnsi="맑은 고딕" w:cs="맑은 고딕" w:hint="eastAsia"/>
          <w:b/>
          <w:bCs/>
          <w:color w:val="2E4F8C"/>
          <w:sz w:val="20"/>
          <w:szCs w:val="20"/>
          <w:rtl w:val="off"/>
        </w:rPr>
      </w:pPr>
    </w:p>
    <w:p>
      <w:pPr>
        <w:spacing w:after="60" w:before="140"/>
        <w:rPr>
          <w:rFonts w:ascii="맑은 고딕" w:eastAsia="맑은 고딕" w:hAnsi="맑은 고딕" w:hint="default"/>
        </w:rPr>
      </w:pPr>
      <w:r>
        <w:rPr>
          <w:rFonts w:ascii="맑은 고딕" w:eastAsia="맑은 고딕" w:hAnsi="맑은 고딕" w:cs="맑은 고딕"/>
          <w:b/>
          <w:bCs/>
          <w:color w:val="2E4F8C"/>
          <w:sz w:val="20"/>
          <w:szCs w:val="20"/>
        </w:rPr>
        <w:t>■ 투자계획서 대비 실제 운용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600"/>
        <w:gridCol w:w="3000"/>
        <w:gridCol w:w="1626"/>
      </w:tblGrid>
      <w:t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항목</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투자계획서 초기 계획</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6월 실제 운용 결과</w:t>
            </w:r>
          </w:p>
        </w:tc>
        <w:tc>
          <w:tcPr>
            <w:tcW w:w="1626"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평가</w:t>
            </w:r>
          </w:p>
        </w:tc>
      </w:tr>
      <w:tr>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기술적 지표</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볼린저밴드 ±2σ 분할매매</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상단 도달 시 반복 매도</w:t>
            </w:r>
            <w:r>
              <w:rPr>
                <w:lang w:eastAsia="ko-KR"/>
                <w:rFonts w:ascii="맑은 고딕" w:eastAsia="맑은 고딕" w:hAnsi="맑은 고딕" w:cs="맑은 고딕"/>
                <w:sz w:val="20"/>
                <w:szCs w:val="20"/>
                <w:rtl w:val="off"/>
              </w:rPr>
              <w:t xml:space="preserve"> 및 하단 이탈 시 반복 손절</w:t>
            </w:r>
            <w:r>
              <w:t xml:space="preserve"> → 회전율 200%+ 발생</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❌역효과</w:t>
            </w:r>
            <w:r>
              <w:rPr>
                <w:lang w:eastAsia="ko-KR"/>
                <w:rFonts w:ascii="맑은 고딕" w:eastAsia="맑은 고딕" w:hAnsi="맑은 고딕" w:cs="맑은 고딕"/>
                <w:sz w:val="20"/>
                <w:szCs w:val="20"/>
                <w:rtl w:val="off"/>
              </w:rPr>
              <w:t xml:space="preserve"> 및 손실 누적</w:t>
            </w:r>
          </w:p>
        </w:tc>
      </w:tr>
      <w:tr>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투트랙 전략</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Track A(AI·반도체) + Track B(방산·조선·원자력)</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Track B 독립 드라이버 기능 상실</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 미달</w:t>
            </w:r>
          </w:p>
        </w:tc>
      </w:tr>
      <w:tr>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금현물</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인플레 헷징 핵심 방어 자산</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FOMC 매파 + AI 유동성 흡수로 기능 약화</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 기대 미달</w:t>
            </w:r>
          </w:p>
        </w:tc>
      </w:tr>
      <w:tr>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달러SOFR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Model C +4점 기반 달러 강세 베팅</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환차익 + 이자 수익 동시 실현</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 적중</w:t>
            </w:r>
          </w:p>
        </w:tc>
      </w:tr>
      <w:tr>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Model A (CPI)</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3개 선행지표 방향성 일치 → 선제 포지션</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5월 수입물가 3.3%(예상 0.9%) → 인플레 지속 확인</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 적중</w:t>
            </w:r>
          </w:p>
        </w:tc>
      </w:tr>
    </w:tbl>
    <w:p>
      <w:pPr>
        <w:spacing w:after="40" w:before="40"/>
        <w:rPr>
          <w:lang w:eastAsia="ko-KR"/>
          <w:rFonts w:ascii="맑은 고딕" w:eastAsia="맑은 고딕" w:hAnsi="맑은 고딕" w:cs="맑은 고딕" w:hint="eastAsia"/>
          <w:b/>
          <w:bCs/>
          <w:i w:val="0"/>
          <w:iCs w:val="0"/>
          <w:color w:val="666666"/>
          <w:sz w:val="16"/>
          <w:szCs w:val="16"/>
          <w:rtl w:val="off"/>
        </w:rPr>
      </w:pPr>
    </w:p>
    <w:p>
      <w:pPr>
        <w:spacing w:after="40" w:before="40"/>
        <w:rPr>
          <w:rFonts w:ascii="맑은 고딕" w:eastAsia="맑은 고딕" w:hAnsi="맑은 고딕" w:hint="default"/>
        </w:rPr>
      </w:pPr>
      <w:r>
        <w:rPr>
          <w:rFonts w:ascii="맑은 고딕" w:eastAsia="맑은 고딕" w:hAnsi="맑은 고딕" w:cs="맑은 고딕"/>
          <w:b/>
          <w:bCs/>
          <w:i w:val="0"/>
          <w:iCs w:val="0"/>
          <w:color w:val="666666"/>
          <w:sz w:val="16"/>
          <w:szCs w:val="16"/>
        </w:rPr>
        <w:t>출처: Federal Reserve 점도표(https://www.federalreserve.gov)</w:t>
      </w:r>
    </w:p>
    <w:p>
      <w:pPr>
        <w:spacing w:after="40" w:before="40"/>
        <w:rPr>
          <w:rFonts w:ascii="맑은 고딕" w:eastAsia="맑은 고딕" w:hAnsi="맑은 고딕" w:hint="default"/>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xml:space="preserve">■ 실패 </w:t>
      </w:r>
      <w:r>
        <w:rPr>
          <w:lang w:eastAsia="ko-KR"/>
          <w:rFonts w:ascii="맑은 고딕" w:eastAsia="맑은 고딕" w:hAnsi="맑은 고딕" w:cs="맑은 고딕"/>
          <w:b/>
          <w:bCs/>
          <w:sz w:val="20"/>
          <w:szCs w:val="20"/>
          <w:rtl w:val="off"/>
        </w:rPr>
        <w:t>원</w:t>
      </w:r>
      <w:r>
        <w:rPr>
          <w:rFonts w:ascii="맑은 고딕" w:eastAsia="맑은 고딕" w:hAnsi="맑은 고딕" w:cs="맑은 고딕"/>
          <w:b/>
          <w:bCs/>
          <w:sz w:val="20"/>
          <w:szCs w:val="20"/>
        </w:rPr>
        <w:t>인 1: 볼린저밴드의 구조적 한계 — 추세 장세에서의 완전한 무력화</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투자계획서에서 볼린저밴드(Bollinger Band)를 '정규분포의 μ ± 2σ 신뢰구간 가설 검정 프레임워크'로 정의하고, 하단 접촉 시 매수, 상단 이탈 시 매도라는 통계적 평균회귀 원리를 채택했다. 이 논리는 가격이 통계적 이탈 구간에서 평균으로 회귀하는 경향을 활용한 것으로,</w:t>
      </w:r>
      <w:r>
        <w:rPr>
          <w:lang w:eastAsia="ko-KR"/>
          <w:rFonts w:ascii="맑은 고딕" w:eastAsia="맑은 고딕" w:hAnsi="맑은 고딕" w:cs="맑은 고딕"/>
          <w:b w:val="0"/>
          <w:bCs w:val="0"/>
          <w:sz w:val="20"/>
          <w:szCs w:val="20"/>
          <w:rtl w:val="off"/>
        </w:rPr>
        <w:t xml:space="preserve"> 기존의 투자 시에 경험상 유용한 도구로 사용하였다. </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 xml:space="preserve">그러나 6월 한국 증시는 코스피가 사상 처음 9,000선을 돌파하는 강한 단방향 추세 장세로 전개되었다. 이 구간에서 볼린저밴드는 '밴드 타기(Band Walking)' 또는 '밴드워크(Bandwalk)'로 불리는 현상을 연출했다. 가격이 볼린저밴드 상단을 연속으로 돌파하면서 밴드 자체가 위로 팽창·이동하는 현상이 발생하여, 상단 이탈을 매도 신호로 해석하는 볼린저밴드 전략은 추세를 역행하는 조기 익절을 반복시켰다. </w:t>
      </w:r>
      <w:r>
        <w:rPr>
          <w:lang w:eastAsia="ko-KR"/>
          <w:rFonts w:ascii="맑은 고딕" w:eastAsia="맑은 고딕" w:hAnsi="맑은 고딕" w:cs="맑은 고딕"/>
          <w:b w:val="0"/>
          <w:bCs w:val="0"/>
          <w:sz w:val="20"/>
          <w:szCs w:val="20"/>
          <w:rtl w:val="off"/>
        </w:rPr>
        <w:t xml:space="preserve">또한, 20일 이동평균선 하방 돌파시에 매도를 하기로 했던 규칙 역시 그 다음날 강한 매수세를 </w:t>
      </w:r>
      <w:r>
        <w:rPr>
          <w:rFonts w:ascii="맑은 고딕" w:eastAsia="맑은 고딕" w:hAnsi="맑은 고딕" w:cs="맑은 고딕"/>
          <w:b w:val="0"/>
          <w:bCs w:val="0"/>
          <w:sz w:val="20"/>
          <w:szCs w:val="20"/>
        </w:rPr>
        <w:t>팀이 보유한 KODEX 반도체·TIGER 나스닥100 등이 상단에 닿을 때마다 분할 매도를 실행했고, 이후 지속 상승하는 추세를 따라가지 못하는 악순환이 반복됐다.</w:t>
      </w:r>
    </w:p>
    <w:p>
      <w:pPr>
        <w:jc w:val="both"/>
        <w:spacing w:after="80" w:before="80"/>
        <w:rPr>
          <w:rFonts w:ascii="맑은 고딕" w:eastAsia="맑은 고딕" w:hAnsi="맑은 고딕" w:hint="default"/>
        </w:rPr>
      </w:pP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결론적으로 강한 단방향 추세가 형성될 때는 지표 자체가 왜곡된 신호를 생성한다. 이에 따라 팀은 투자계획서 1-7항 전체(볼린저밴드 기반 진입 원칙 및 보조지표 MACD·RSI·CCI·삼각수렴 체계)를 7월부터 완전 폐기하고, 추세 추종에 특화된 하이킨아시(Heikin-Ashi) 스윙 매매로 전환을 결정했다.</w:t>
      </w:r>
    </w:p>
    <w:p>
      <w:pPr>
        <w:jc w:val="both"/>
        <w:spacing w:after="80" w:before="80"/>
        <w:rPr>
          <w:rFonts w:ascii="맑은 고딕" w:eastAsia="맑은 고딕" w:hAnsi="맑은 고딕" w:hint="default"/>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실패 원인 2: 한국 증시 수급 구조의 구조적 왜곡</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투자계획서 2-2-1항에서 팀은 Track B(방산·조선·원자력)의 독립 드라이버 논리로 'K방산 vs VIX 상관계수 0.000'을 제시했다. 이 통계는 유효하지만, 현실 수급 환경이 이 이론을 압도했다.</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6월 한국 증시에서는 삼성전자·SK하이닉스 레버리지·인버스 단일종목 ETF에 일일 거래대금의 30~40%가 집중되는 극단적 수급 왜곡이 발생했다. 이 구조에서 개별 섹터 ETF의 독립 드라이버는 수급 압력 앞에 무력화됐다. 반도체 강등락 시 전체 시장이 연동되는 '단일 축 시장' 현상이 나타나면서, 투자계획서에서 설계한 투트랙 분산 효과가 현실에서 작동하지 않았다.</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또한 6월 말 국민연금 리밸런싱 유예 종료를 앞두고 선제적 연기금 매도세가 6월 23일 코스피 -9.99% 역대 최대 낙폭을 만들었다. 이 과정에서 방산·조선·원자력 ETF도 동반 하락하며 섹터별 독립성이 단기적으로 소멸됐다. 이란 MOU 협상 진전으로 지정학 프리미엄의 일부가 소멸된 것도 Track B 약화에 기여했다.</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미국 시장은 이런 수급 왜곡에서 상대적으로 자유롭다. 7월부터 미국 ETF</w:t>
      </w:r>
      <w:r>
        <w:rPr>
          <w:lang w:eastAsia="ko-KR"/>
          <w:rFonts w:ascii="맑은 고딕" w:eastAsia="맑은 고딕" w:hAnsi="맑은 고딕" w:cs="맑은 고딕"/>
          <w:b w:val="0"/>
          <w:bCs w:val="0"/>
          <w:sz w:val="20"/>
          <w:szCs w:val="20"/>
          <w:rtl w:val="off"/>
        </w:rPr>
        <w:t xml:space="preserve">의 경우는 순환매를 가정하여, 다양한 섹터의 분산투자를 시도하나, </w:t>
      </w:r>
      <w:r>
        <w:rPr>
          <w:rFonts w:ascii="맑은 고딕" w:eastAsia="맑은 고딕" w:hAnsi="맑은 고딕" w:cs="맑은 고딕"/>
          <w:b w:val="0"/>
          <w:bCs w:val="0"/>
          <w:sz w:val="20"/>
          <w:szCs w:val="20"/>
        </w:rPr>
        <w:t>한국 섹터 ETF</w:t>
      </w:r>
      <w:r>
        <w:rPr>
          <w:lang w:eastAsia="ko-KR"/>
          <w:rFonts w:ascii="맑은 고딕" w:eastAsia="맑은 고딕" w:hAnsi="맑은 고딕" w:cs="맑은 고딕"/>
          <w:b w:val="0"/>
          <w:bCs w:val="0"/>
          <w:sz w:val="20"/>
          <w:szCs w:val="20"/>
          <w:rtl w:val="off"/>
        </w:rPr>
        <w:t>는</w:t>
      </w:r>
      <w:r>
        <w:rPr>
          <w:rFonts w:ascii="맑은 고딕" w:eastAsia="맑은 고딕" w:hAnsi="맑은 고딕" w:cs="맑은 고딕"/>
          <w:b w:val="0"/>
          <w:bCs w:val="0"/>
          <w:sz w:val="20"/>
          <w:szCs w:val="20"/>
        </w:rPr>
        <w:t xml:space="preserve"> 선별 축소하</w:t>
      </w:r>
      <w:r>
        <w:rPr>
          <w:lang w:eastAsia="ko-KR"/>
          <w:rFonts w:ascii="맑은 고딕" w:eastAsia="맑은 고딕" w:hAnsi="맑은 고딕" w:cs="맑은 고딕"/>
          <w:b w:val="0"/>
          <w:bCs w:val="0"/>
          <w:sz w:val="20"/>
          <w:szCs w:val="20"/>
          <w:rtl w:val="off"/>
        </w:rPr>
        <w:t>여</w:t>
      </w:r>
      <w:r>
        <w:rPr>
          <w:rFonts w:ascii="맑은 고딕" w:eastAsia="맑은 고딕" w:hAnsi="맑은 고딕" w:cs="맑은 고딕"/>
          <w:b w:val="0"/>
          <w:bCs w:val="0"/>
          <w:sz w:val="20"/>
          <w:szCs w:val="20"/>
        </w:rPr>
        <w:t xml:space="preserve"> </w:t>
      </w:r>
      <w:r>
        <w:rPr>
          <w:lang w:eastAsia="ko-KR"/>
          <w:rFonts w:ascii="맑은 고딕" w:eastAsia="맑은 고딕" w:hAnsi="맑은 고딕" w:cs="맑은 고딕"/>
          <w:b w:val="0"/>
          <w:bCs w:val="0"/>
          <w:sz w:val="20"/>
          <w:szCs w:val="20"/>
          <w:rtl w:val="off"/>
        </w:rPr>
        <w:t>반도체만을 중심으로 투자하되, 압도적으로 좋은 기술적 매수시점에만 다른 섹터를</w:t>
      </w:r>
      <w:r>
        <w:rPr>
          <w:rFonts w:ascii="맑은 고딕" w:eastAsia="맑은 고딕" w:hAnsi="맑은 고딕" w:cs="맑은 고딕"/>
          <w:b w:val="0"/>
          <w:bCs w:val="0"/>
          <w:sz w:val="20"/>
          <w:szCs w:val="20"/>
        </w:rPr>
        <w:t xml:space="preserve"> </w:t>
      </w:r>
      <w:r>
        <w:rPr>
          <w:lang w:eastAsia="ko-KR"/>
          <w:rFonts w:ascii="맑은 고딕" w:eastAsia="맑은 고딕" w:hAnsi="맑은 고딕" w:cs="맑은 고딕"/>
          <w:b w:val="0"/>
          <w:bCs w:val="0"/>
          <w:sz w:val="20"/>
          <w:szCs w:val="20"/>
          <w:rtl w:val="off"/>
        </w:rPr>
        <w:t xml:space="preserve">투자하는 것으로 </w:t>
      </w:r>
      <w:r>
        <w:rPr>
          <w:rFonts w:ascii="맑은 고딕" w:eastAsia="맑은 고딕" w:hAnsi="맑은 고딕" w:cs="맑은 고딕"/>
          <w:b w:val="0"/>
          <w:bCs w:val="0"/>
          <w:sz w:val="20"/>
          <w:szCs w:val="20"/>
        </w:rPr>
        <w:t>재편한다.</w:t>
      </w:r>
    </w:p>
    <w:p>
      <w:pPr>
        <w:spacing w:after="40" w:before="40"/>
        <w:rPr>
          <w:rFonts w:ascii="맑은 고딕" w:eastAsia="맑은 고딕" w:hAnsi="맑은 고딕" w:hint="default"/>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실패 원인 3: 금현물의 안전자산 기능 약화</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투자계획서 Model D에서 금의 4중 수혜 구조(인플레 헷징·지정학 수요·중앙은행 매입·GCR 상승)를 제시했고, 5월 기준으로는 모든 요인이 유효했다. 그러나 6월에 두 가지 변수가 동시에 작용하여 금의 안전자산 기능이 약화됐다.</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첫째, 6월 FOMC에서 점도표가 연내 추가 금리 인상을 시사하는 매파적 방향으로 나타났다. 연내 인상 시사 위원이 18명 중 9명으로 과반에 달했으며, 2026년 PCE 전망이 기존 2.7%에서 3.6%로, 근원 PCE는 2.7%에서 3.3%로 상향됐다. 금리 인상 구간에서는 달러 강세와 실질금리 상승이 동반되어 무이자 자산인 금의 기회비용이 극대화되며 가격이 하방 압력을 받는다.</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둘째, 이란 MOU 협상 진전으로 지정학 안전자산 수요의 일부가 소멸됐다. WTI 유가가 당일 -5.82% 급락하면서 인플레이션 압력도 일부 완화됐는데, 이는 금의 인플레 헷징 프리미엄을 약화시키는 요인이 됐다. 종합 판단 하에 금현물을 전량 매도하고, 안전자산 기능을 달러단기채권·하이일드채권으로 대체</w:t>
      </w:r>
      <w:r>
        <w:rPr>
          <w:lang w:eastAsia="ko-KR"/>
          <w:rFonts w:ascii="맑은 고딕" w:eastAsia="맑은 고딕" w:hAnsi="맑은 고딕" w:cs="맑은 고딕"/>
          <w:b w:val="0"/>
          <w:bCs w:val="0"/>
          <w:sz w:val="20"/>
          <w:szCs w:val="20"/>
          <w:rtl w:val="off"/>
        </w:rPr>
        <w:t>한다.</w:t>
      </w:r>
    </w:p>
    <w:p>
      <w:pPr>
        <w:jc w:val="both"/>
        <w:spacing w:after="80" w:before="80"/>
        <w:rPr>
          <w:lang w:eastAsia="ko-KR"/>
          <w:rFonts w:ascii="맑은 고딕" w:eastAsia="맑은 고딕" w:hAnsi="맑은 고딕" w:cs="맑은 고딕" w:hint="eastAsia"/>
          <w:b w:val="0"/>
          <w:bCs w:val="0"/>
          <w:sz w:val="20"/>
          <w:szCs w:val="20"/>
          <w:rtl w:val="off"/>
        </w:rPr>
      </w:pPr>
      <w:r>
        <w:rPr>
          <w:lang w:eastAsia="ko-KR"/>
          <w:rFonts w:ascii="맑은 고딕" w:eastAsia="맑은 고딕" w:hAnsi="맑은 고딕" w:cs="맑은 고딕"/>
          <w:b w:val="0"/>
          <w:bCs w:val="0"/>
          <w:sz w:val="20"/>
          <w:szCs w:val="20"/>
          <w:rtl w:val="off"/>
        </w:rPr>
        <w:t xml:space="preserve">셋째, 시장의 유동성이 현저히 부족하여, 금으로 들어가는 돈마저 반도체 및 AI 섹터로 들어가고 있다. 현재, 미국 빅테크 기업들이 회사채를 발행하거나 유상증자를 발표하는 등 AI 투자에 대한 현금이 부족한 상황이다.거기에 일본금리인상으로 인한 앤캐리 청산도 발생하는 것으로 보이는 바, 유동성이 매우 부족한 상황이다.   다만, 동시에 수급상황 및 유동성이 좋지 않더라도 미국과 중국의 AI패권 경쟁은 멈출수가 없는 바, 시장에서는 지속적으로 유동성이 부족하고 불안정성이 심화되더라도 금이라는 안전자산보다는 미국 반도체나 AI관련 기업 주식시장으로 돈이 흡수되는 것으로 보인다. </w:t>
      </w:r>
    </w:p>
    <w:p>
      <w:pPr>
        <w:jc w:val="both"/>
        <w:spacing w:after="80" w:before="80"/>
        <w:rPr>
          <w:lang w:eastAsia="ko-KR"/>
          <w:rFonts w:ascii="맑은 고딕" w:eastAsia="맑은 고딕" w:hAnsi="맑은 고딕" w:cs="맑은 고딕" w:hint="eastAsia"/>
          <w:b w:val="0"/>
          <w:bCs w:val="0"/>
          <w:sz w:val="20"/>
          <w:szCs w:val="20"/>
          <w:rtl w:val="off"/>
        </w:rPr>
      </w:pPr>
      <w:r>
        <w:rPr>
          <w:lang w:eastAsia="ko-KR"/>
          <w:rFonts w:ascii="맑은 고딕" w:eastAsia="맑은 고딕" w:hAnsi="맑은 고딕" w:cs="맑은 고딕"/>
          <w:b w:val="0"/>
          <w:bCs w:val="0"/>
          <w:sz w:val="20"/>
          <w:szCs w:val="20"/>
          <w:rtl w:val="off"/>
        </w:rPr>
        <w:t xml:space="preserve">이러한 이유로 금이 안전자산의 역할을 수행하지 못한다고 판단하는 바, 금은 지속적 관찰대상에는 포함하되, 향후에 안전자산의 역할은 달러 관련 자산들로 대체한다.  </w:t>
      </w:r>
    </w:p>
    <w:p>
      <w:pPr>
        <w:pStyle w:val="Heading1"/>
        <w:rPr>
          <w:rFonts w:ascii="맑은 고딕" w:eastAsia="맑은 고딕" w:hAnsi="맑은 고딕" w:hint="default"/>
          <w:sz w:val="20"/>
          <w:szCs w:val="20"/>
        </w:rPr>
      </w:pPr>
      <w:r>
        <w:rPr>
          <w:rFonts w:ascii="맑은 고딕" w:eastAsia="맑은 고딕" w:hAnsi="맑은 고딕" w:cs="맑은 고딕"/>
          <w:b/>
          <w:bCs/>
          <w:color w:val="1F3864"/>
          <w:sz w:val="20"/>
          <w:szCs w:val="20"/>
        </w:rPr>
        <w:t>2. 포트폴리오 변경 사유</w:t>
      </w: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Model A~E 6월 현황 및 판단 결과</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Model A — CPI 사전 예측 (6월 기준)</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bCs/>
          <w:sz w:val="20"/>
          <w:szCs w:val="20"/>
        </w:rPr>
        <w:t>3개 선행 지표 현황</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bCs/>
          <w:sz w:val="20"/>
          <w:szCs w:val="20"/>
        </w:rPr>
        <w:t>가솔린 가격 변화율</w:t>
      </w:r>
      <w:r>
        <w:rPr>
          <w:lang w:eastAsia="ko-KR"/>
          <w:rFonts w:ascii="맑은 고딕" w:eastAsia="맑은 고딕" w:hAnsi="맑은 고딕" w:cs="맑은 고딕"/>
          <w:b w:val="0"/>
          <w:bCs w:val="0"/>
          <w:sz w:val="20"/>
          <w:szCs w:val="20"/>
          <w:rtl w:val="off"/>
        </w:rPr>
        <w:t xml:space="preserve"> </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이란 MOU 진전으로 WTI 유가가 6월 18일 기준 배럴당 -5.82% 하락하며 에너지 가격 상승 압력이 일부 소멸됐다. 그러나 호르무즈 해협 재개통이 확인되기까지 가솔린 가격의 구조적 고점은 유지될 전망이다. 가솔린이 CPI 바스켓에서 차지하는 3.4% 비중을 감안하면 현 수준에서도 CPI에 +0.3~0.4%p의 기여가 지속된다.</w:t>
      </w:r>
    </w:p>
    <w:p>
      <w:pPr>
        <w:jc w:val="both"/>
        <w:spacing w:after="80" w:before="80"/>
        <w:rPr>
          <w:lang w:eastAsia="ko-KR"/>
          <w:rFonts w:ascii="맑은 고딕" w:eastAsia="맑은 고딕" w:hAnsi="맑은 고딕" w:cs="맑은 고딕" w:hint="eastAsia"/>
          <w:b/>
          <w:bCs/>
          <w:sz w:val="20"/>
          <w:szCs w:val="20"/>
          <w:rtl w:val="off"/>
        </w:rPr>
      </w:pPr>
    </w:p>
    <w:p>
      <w:pPr>
        <w:jc w:val="both"/>
        <w:spacing w:after="80" w:before="80"/>
        <w:rPr>
          <w:lang w:eastAsia="ko-KR"/>
          <w:rFonts w:ascii="맑은 고딕" w:eastAsia="맑은 고딕" w:hAnsi="맑은 고딕" w:cs="맑은 고딕" w:hint="eastAsia"/>
          <w:b/>
          <w:bCs/>
          <w:sz w:val="20"/>
          <w:szCs w:val="20"/>
          <w:rtl w:val="off"/>
        </w:rPr>
      </w:pPr>
      <w:r>
        <w:rPr>
          <w:rFonts w:ascii="맑은 고딕" w:eastAsia="맑은 고딕" w:hAnsi="맑은 고딕" w:cs="맑은 고딕"/>
          <w:b/>
          <w:bCs/>
          <w:sz w:val="20"/>
          <w:szCs w:val="20"/>
        </w:rPr>
        <w:t>PPI 전월비</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미국 5월 수입물가지수가 예상치 0.9%를 상회하는 3.3%를 기록했다(출처: U.S. Bureau of Labor Statistics, https://www.bls.gov). PPI와 수입물가는 약 1~2개월의 시차를 두고 CPI 서비스 물가로 전이된다. 즉 7~8월 CPI에 추가 상방 압력이 예정된 상태다.</w:t>
      </w:r>
    </w:p>
    <w:p>
      <w:pPr>
        <w:jc w:val="both"/>
        <w:spacing w:after="80" w:before="80"/>
        <w:rPr>
          <w:lang w:eastAsia="ko-KR"/>
          <w:rFonts w:ascii="맑은 고딕" w:eastAsia="맑은 고딕" w:hAnsi="맑은 고딕" w:cs="맑은 고딕" w:hint="eastAsia"/>
          <w:b/>
          <w:bCs/>
          <w:sz w:val="20"/>
          <w:szCs w:val="20"/>
          <w:rtl w:val="off"/>
        </w:rPr>
      </w:pP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bCs/>
          <w:sz w:val="20"/>
          <w:szCs w:val="20"/>
        </w:rPr>
        <w:t>클리블랜드 나우캐스트</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 xml:space="preserve"> 6월 기준 2.8~3.0% 수준을 가리키고 있어 CPI 디플레이션을 기대하기 어렵다.</w:t>
      </w:r>
    </w:p>
    <w:p>
      <w:pPr>
        <w:jc w:val="both"/>
        <w:spacing w:after="80" w:before="80"/>
        <w:rPr>
          <w:lang w:eastAsia="ko-KR"/>
          <w:rFonts w:ascii="맑은 고딕" w:eastAsia="맑은 고딕" w:hAnsi="맑은 고딕" w:hint="eastAsia"/>
          <w:rtl w:val="off"/>
        </w:rPr>
      </w:pPr>
    </w:p>
    <w:p>
      <w:pPr>
        <w:jc w:val="both"/>
        <w:spacing w:after="80" w:before="8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결론: 세 지표 모두 인플레이션 지속 방향을 가리키고, 7/14 미국 CPI 발표에서 예상치 상회 가능성이 높다. 7/10~7/14 구간에서 달러금리액티브 비중을 유지하고 7/14 결과 확인 후 성장주 전환 여부를 결정한다.</w:t>
      </w: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Model B — 테일러 준칙 (6월 기준)</w:t>
      </w:r>
    </w:p>
    <w:p>
      <w:pPr>
        <w:jc w:val="both"/>
        <w:spacing w:after="80" w:before="80"/>
        <w:rPr>
          <w:lang w:eastAsia="ko-KR"/>
          <w:rFonts w:ascii="맑은 고딕" w:eastAsia="맑은 고딕" w:hAnsi="맑은 고딕" w:cs="맑은 고딕" w:hint="eastAsia"/>
          <w:b/>
          <w:bCs/>
          <w:sz w:val="20"/>
          <w:szCs w:val="20"/>
          <w:rtl w:val="off"/>
        </w:rPr>
      </w:pPr>
      <w:r>
        <w:rPr>
          <w:rFonts w:ascii="맑은 고딕" w:eastAsia="맑은 고딕" w:hAnsi="맑은 고딕" w:cs="맑은 고딕"/>
          <w:b/>
          <w:bCs/>
          <w:sz w:val="20"/>
          <w:szCs w:val="20"/>
        </w:rPr>
        <w:t xml:space="preserve">적정금리 = 실질중립금리(0.5%) + Core PCE(2.6%) + 0.5×(Core PCE-2%)(0.3%) + 0.5×GDP갭(0.15%) = 3.55%. </w:t>
      </w:r>
    </w:p>
    <w:p>
      <w:pPr>
        <w:jc w:val="both"/>
        <w:spacing w:after="80" w:before="80"/>
        <w:rPr>
          <w:lang w:eastAsia="ko-KR"/>
          <w:rFonts w:ascii="맑은 고딕" w:eastAsia="맑은 고딕" w:hAnsi="맑은 고딕" w:cs="맑은 고딕" w:hint="eastAsia"/>
          <w:b w:val="0"/>
          <w:bCs w:val="0"/>
          <w:sz w:val="20"/>
          <w:szCs w:val="20"/>
          <w:rtl w:val="off"/>
        </w:rPr>
      </w:pP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6월 FOMC에서 2026년 말 기준금리 중간값이 3.8%로 상향됐</w:t>
      </w:r>
      <w:r>
        <w:rPr>
          <w:lang w:eastAsia="ko-KR"/>
          <w:rFonts w:ascii="맑은 고딕" w:eastAsia="맑은 고딕" w:hAnsi="맑은 고딕" w:cs="맑은 고딕"/>
          <w:b w:val="0"/>
          <w:bCs w:val="0"/>
          <w:sz w:val="20"/>
          <w:szCs w:val="20"/>
          <w:rtl w:val="off"/>
        </w:rPr>
        <w:t xml:space="preserve">다. </w:t>
      </w:r>
      <w:r>
        <w:rPr>
          <w:rFonts w:ascii="맑은 고딕" w:eastAsia="맑은 고딕" w:hAnsi="맑은 고딕" w:cs="맑은 고딕"/>
          <w:b w:val="0"/>
          <w:bCs w:val="0"/>
          <w:sz w:val="20"/>
          <w:szCs w:val="20"/>
        </w:rPr>
        <w:t>이는 연준 자체적으로 적정금리가 테일러 준칙 추정치(3.55%)보다 높다고 판단하고 있음을 의미한다. 실제금리(3.5~3.75%)와 적정금리 추정치(3.55%)의 괴리는 좁아졌으나, 연준의 점도표는 여전히 추가 인상을 시사한다. 절사평균 PCE(댈러스 연준)는 2.6% 수준으로, 에너지 충격을 제거하면 기저 인플레이션은 어느 정도 통제되고 있음을 보인다.</w:t>
      </w:r>
      <w:r>
        <w:rPr>
          <w:lang w:eastAsia="ko-KR"/>
          <w:rFonts w:ascii="맑은 고딕" w:eastAsia="맑은 고딕" w:hAnsi="맑은 고딕" w:cs="맑은 고딕"/>
          <w:b w:val="0"/>
          <w:bCs w:val="0"/>
          <w:sz w:val="20"/>
          <w:szCs w:val="20"/>
          <w:rtl w:val="off"/>
        </w:rPr>
        <w:t xml:space="preserve"> </w:t>
      </w:r>
      <w:r>
        <w:rPr>
          <w:lang w:eastAsia="ko-KR"/>
          <w:rFonts w:ascii="맑은 고딕" w:eastAsia="맑은 고딕" w:hAnsi="맑은 고딕" w:cs="맑은 고딕"/>
          <w:b/>
          <w:bCs/>
          <w:sz w:val="16"/>
          <w:szCs w:val="16"/>
          <w:rtl w:val="off"/>
        </w:rPr>
        <w:t>(</w:t>
      </w:r>
      <w:r>
        <w:rPr>
          <w:rFonts w:ascii="맑은 고딕" w:eastAsia="맑은 고딕" w:hAnsi="맑은 고딕" w:cs="맑은 고딕"/>
          <w:b/>
          <w:bCs/>
          <w:sz w:val="16"/>
          <w:szCs w:val="16"/>
        </w:rPr>
        <w:t>출처: Federal Reserve, https://www.federalreserve.gov).</w:t>
      </w:r>
    </w:p>
    <w:p>
      <w:pPr>
        <w:jc w:val="both"/>
        <w:spacing w:after="80" w:before="8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결론: 7/30 FOMC에서 동결 가능성이 높으나 인상 옵션이 살아있다. 금리 인하 기대에 베팅하는 30년 국채 ETF 편입은 시기상조다. 달러SOFR·달러단기채권의 이자 수익 확보가 안전자산 전략의 핵심으로 유지된다.</w:t>
      </w:r>
    </w:p>
    <w:p>
      <w:pPr>
        <w:spacing w:after="40" w:before="40"/>
        <w:rPr>
          <w:lang w:eastAsia="ko-KR"/>
          <w:rFonts w:ascii="맑은 고딕" w:eastAsia="맑은 고딕" w:hAnsi="맑은 고딕" w:hint="eastAsia"/>
          <w:rtl w:val="off"/>
        </w:rPr>
      </w:pP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Model C — 원달러 환율 4변수 합산 (6월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4600"/>
        <w:gridCol w:w="1226"/>
      </w:tblGrid>
      <w:t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변수</w:t>
            </w:r>
          </w:p>
        </w:tc>
        <w:tc>
          <w:tcPr>
            <w:tcW w:w="4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방향</w:t>
            </w:r>
          </w:p>
        </w:tc>
        <w:tc>
          <w:tcPr>
            <w:tcW w:w="1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점수</w:t>
            </w:r>
          </w:p>
        </w:tc>
      </w:tr>
      <w:t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한미 금리차</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미국(3.5~3.75%) &gt; 한국(3.0%), 역전 지속</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+1</w:t>
            </w:r>
          </w:p>
        </w:tc>
      </w:tr>
      <w:t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WTI 유가</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이란 MOU 하락 진행 중이나 여전히 높은 수준</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+1</w:t>
            </w:r>
          </w:p>
        </w:tc>
      </w:tr>
      <w:t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VIX 지수</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23 수준으로 불안정 유지</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+1</w:t>
            </w:r>
          </w:p>
        </w:tc>
      </w:tr>
      <w:t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한국 경상수지</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반도체 수출 호조로 흑자 유지</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-1</w:t>
            </w:r>
          </w:p>
        </w:tc>
      </w:tr>
      <w:t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합산</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+2</w:t>
            </w:r>
          </w:p>
        </w:tc>
      </w:tr>
    </w:tbl>
    <w:p>
      <w:pPr>
        <w:spacing w:after="40" w:before="40"/>
        <w:rPr>
          <w:lang w:eastAsia="ko-KR"/>
          <w:rFonts w:ascii="맑은 고딕" w:eastAsia="맑은 고딕" w:hAnsi="맑은 고딕" w:cs="맑은 고딕" w:hint="eastAsia"/>
          <w:b/>
          <w:bCs/>
          <w:i w:val="0"/>
          <w:iCs w:val="0"/>
          <w:color w:val="666666"/>
          <w:sz w:val="16"/>
          <w:szCs w:val="16"/>
          <w:rtl w:val="off"/>
        </w:rPr>
      </w:pPr>
      <w:r>
        <w:rPr>
          <w:rFonts w:ascii="맑은 고딕" w:eastAsia="맑은 고딕" w:hAnsi="맑은 고딕" w:cs="맑은 고딕"/>
          <w:b/>
          <w:bCs/>
          <w:i w:val="0"/>
          <w:iCs w:val="0"/>
          <w:color w:val="666666"/>
          <w:sz w:val="16"/>
          <w:szCs w:val="16"/>
        </w:rPr>
        <w:t>출처: 한국은행 경제통계시스템(https://ecos.bok.or.kr), CME FedWatch(https://www.cmegroup.com)</w:t>
      </w:r>
    </w:p>
    <w:p>
      <w:pPr>
        <w:spacing w:after="40" w:before="40"/>
        <w:rPr>
          <w:rFonts w:ascii="맑은 고딕" w:eastAsia="맑은 고딕" w:hAnsi="맑은 고딕" w:hint="default"/>
          <w:b/>
          <w:bCs/>
          <w:sz w:val="16"/>
          <w:szCs w:val="16"/>
        </w:rPr>
      </w:pPr>
    </w:p>
    <w:p>
      <w:pPr>
        <w:jc w:val="both"/>
        <w:spacing w:after="80" w:before="80"/>
        <w:rPr>
          <w:rFonts w:ascii="맑은 고딕" w:eastAsia="맑은 고딕" w:hAnsi="맑은 고딕" w:hint="default"/>
        </w:rPr>
      </w:pPr>
      <w:r>
        <w:rPr>
          <w:lang w:eastAsia="ko-KR"/>
          <w:rFonts w:ascii="맑은 고딕" w:eastAsia="맑은 고딕" w:hAnsi="맑은 고딕" w:cs="맑은 고딕"/>
          <w:b/>
          <w:bCs/>
          <w:sz w:val="20"/>
          <w:szCs w:val="20"/>
          <w:rtl w:val="off"/>
        </w:rPr>
        <w:t xml:space="preserve">결론: </w:t>
      </w:r>
      <w:r>
        <w:rPr>
          <w:rFonts w:ascii="맑은 고딕" w:eastAsia="맑은 고딕" w:hAnsi="맑은 고딕" w:cs="맑은 고딕"/>
          <w:b/>
          <w:bCs/>
          <w:sz w:val="20"/>
          <w:szCs w:val="20"/>
        </w:rPr>
        <w:t>5월 +4점에서 +2점으로 하락했다. 이란 MOU 진전으로 유가가 일부 하락하며 달러 강세 압력이 완화됐다. 달러SOFR 비중을 금통위(7/16) 전까지 유지한다. 금통위 인상 확정 후 달러 강세 압력 완화 시점에 달러SOFR 일부 매도 → 성장주 전환 계획을 유지한다.</w:t>
      </w: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Model D — 금·은·안전자산 방향 (6월 기준)</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금현물 전량 매도를 결정한 상황에서 Model D의 금 비중 판단 기능은 당분간 불필요하다. 대신 GSR(금/은 비율) 데이터를 통해 은선물 ETF 편입 가능성을 모니터링한다. 현재 GSR은 63.91 수준이다(출처: FRED, https://fred.stlouisfed.org</w:t>
      </w:r>
      <w:r>
        <w:rPr>
          <w:lang w:eastAsia="ko-KR"/>
          <w:rFonts w:ascii="맑은 고딕" w:eastAsia="맑은 고딕" w:hAnsi="맑은 고딕" w:cs="맑은 고딕"/>
          <w:b w:val="0"/>
          <w:bCs w:val="0"/>
          <w:sz w:val="20"/>
          <w:szCs w:val="20"/>
          <w:rtl w:val="off"/>
        </w:rPr>
        <w:t>)</w:t>
      </w:r>
      <w:r>
        <w:rPr>
          <w:rFonts w:ascii="맑은 고딕" w:eastAsia="맑은 고딕" w:hAnsi="맑은 고딕" w:cs="맑은 고딕"/>
          <w:b w:val="0"/>
          <w:bCs w:val="0"/>
          <w:sz w:val="20"/>
          <w:szCs w:val="20"/>
        </w:rPr>
        <w:t xml:space="preserve">. 팀의 투자계획서에서 제시한 GSR 해석 기준에 따르면 GSR 80 초과 시 극도의 불안 구간, 40 이하 시 은 과대평가 구간이다. 현재 63.91은 적정 구간의 중간으로, 특별한 신호를 내지 않는다. </w:t>
      </w:r>
    </w:p>
    <w:p>
      <w:pPr>
        <w:jc w:val="both"/>
        <w:spacing w:after="80" w:before="80"/>
        <w:rPr>
          <w:lang w:eastAsia="ko-KR"/>
          <w:rFonts w:ascii="맑은 고딕" w:eastAsia="맑은 고딕" w:hAnsi="맑은 고딕" w:cs="맑은 고딕" w:hint="eastAsia"/>
          <w:b w:val="0"/>
          <w:bCs w:val="0"/>
          <w:sz w:val="20"/>
          <w:szCs w:val="20"/>
          <w:rtl w:val="off"/>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 xml:space="preserve">결론: </w:t>
      </w:r>
      <w:r>
        <w:rPr>
          <w:rFonts w:ascii="맑은 고딕" w:eastAsia="맑은 고딕" w:hAnsi="맑은 고딕" w:cs="맑은 고딕"/>
          <w:b/>
          <w:bCs/>
          <w:sz w:val="20"/>
          <w:szCs w:val="20"/>
        </w:rPr>
        <w:t>금현물은 전량 매도하고 안전자산 기능을 달러단기채</w:t>
      </w:r>
      <w:r>
        <w:rPr>
          <w:lang w:eastAsia="ko-KR"/>
          <w:rFonts w:ascii="맑은 고딕" w:eastAsia="맑은 고딕" w:hAnsi="맑은 고딕" w:cs="맑은 고딕"/>
          <w:b/>
          <w:bCs/>
          <w:sz w:val="20"/>
          <w:szCs w:val="20"/>
          <w:rtl w:val="off"/>
        </w:rPr>
        <w:t>권 및 달러</w:t>
      </w:r>
      <w:r>
        <w:rPr>
          <w:rFonts w:ascii="맑은 고딕" w:eastAsia="맑은 고딕" w:hAnsi="맑은 고딕" w:cs="맑은 고딕"/>
          <w:b/>
          <w:bCs/>
          <w:sz w:val="20"/>
          <w:szCs w:val="20"/>
        </w:rPr>
        <w:t>로 대체하기로 결정하였다</w:t>
      </w:r>
      <w:r>
        <w:rPr>
          <w:rFonts w:ascii="맑은 고딕" w:eastAsia="맑은 고딕" w:hAnsi="맑은 고딕" w:cs="맑은 고딕"/>
          <w:b w:val="0"/>
          <w:bCs w:val="0"/>
          <w:sz w:val="20"/>
          <w:szCs w:val="20"/>
        </w:rPr>
        <w:t>.</w:t>
      </w:r>
      <w:r>
        <w:rPr>
          <w:lang w:eastAsia="ko-KR"/>
          <w:rFonts w:ascii="맑은 고딕" w:eastAsia="맑은 고딕" w:hAnsi="맑은 고딕" w:cs="맑은 고딕"/>
          <w:b w:val="0"/>
          <w:bCs w:val="0"/>
          <w:sz w:val="20"/>
          <w:szCs w:val="20"/>
          <w:rtl w:val="off"/>
        </w:rPr>
        <w:t xml:space="preserve"> </w:t>
      </w:r>
      <w:r>
        <w:rPr>
          <w:lang w:eastAsia="ko-KR"/>
          <w:rFonts w:ascii="맑은 고딕" w:eastAsia="맑은 고딕" w:hAnsi="맑은 고딕" w:cs="맑은 고딕"/>
          <w:b/>
          <w:bCs/>
          <w:sz w:val="20"/>
          <w:szCs w:val="20"/>
          <w:rtl w:val="off"/>
        </w:rPr>
        <w:t xml:space="preserve">금현물이나 </w:t>
      </w:r>
      <w:r>
        <w:rPr>
          <w:rFonts w:ascii="맑은 고딕" w:eastAsia="맑은 고딕" w:hAnsi="맑은 고딕" w:cs="맑은 고딕"/>
          <w:b/>
          <w:bCs/>
          <w:sz w:val="20"/>
          <w:szCs w:val="20"/>
        </w:rPr>
        <w:t>은선물 ETF(KODEX 은선물(H), A084690, AUM 1.5조)는 현재 기준 편입 조건 미충족이나, GSR이 70을 돌파하거나 산업 수요 지표가 강화될 경우 소량 편입을 검토하는 '열어놓는' 대상으로 분류한다.</w:t>
      </w:r>
    </w:p>
    <w:p>
      <w:pPr>
        <w:spacing w:after="40" w:before="40"/>
        <w:rPr>
          <w:lang w:eastAsia="ko-KR"/>
          <w:rFonts w:ascii="맑은 고딕" w:eastAsia="맑은 고딕" w:hAnsi="맑은 고딕" w:hint="eastAsia"/>
          <w:rtl w:val="off"/>
        </w:rPr>
      </w:pP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Model E — 상관계수 분석 (6월 기준)</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VIX-HY스프레드 상관계수가 0.395로 유지되며 투자계획서에서 제시한 경고 신호가 지속되고 있다. 투자계획서에서 '주가는 오르는데 기업 신용 불안만 올라가는 비정상 상태'라고 경고한 구조가 여전히 해소되지 않았다. K방산 vs VIX 상관계수 0.000으로 이론적 독립성은 유지되나, 6월 수급 왜곡 장세에서 실제 방어 기능이 약화됐다.</w:t>
      </w:r>
    </w:p>
    <w:p>
      <w:pPr>
        <w:jc w:val="both"/>
        <w:spacing w:after="80" w:before="8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결론: 경고 상태 유지. 위험자산 비중 확대 시 안전자산(달러단기채권·하이일드채권) 최소 20% 이상 동시 유지 원칙을 고수한다. 하이일드 채권의 스프레드 추이를 매주 모니터링하며, 급격한 스프레드 확대 시 즉각 위험자산 비중을 축소한다.</w:t>
      </w: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60" w:before="140"/>
        <w:rPr>
          <w:rFonts w:ascii="맑은 고딕" w:eastAsia="맑은 고딕" w:hAnsi="맑은 고딕" w:hint="default"/>
        </w:rPr>
      </w:pPr>
      <w:r>
        <w:rPr>
          <w:rFonts w:ascii="맑은 고딕" w:eastAsia="맑은 고딕" w:hAnsi="맑은 고딕" w:cs="맑은 고딕"/>
          <w:b/>
          <w:bCs/>
          <w:color w:val="2E4F8C"/>
          <w:sz w:val="20"/>
          <w:szCs w:val="20"/>
        </w:rPr>
        <w:t>■ 6월 중 실제 포트폴리오 변경 내역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3400"/>
        <w:gridCol w:w="4026"/>
      </w:tblGrid>
      <w:t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변경일</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변경 내용</w:t>
            </w:r>
          </w:p>
        </w:tc>
        <w:tc>
          <w:tcPr>
            <w:tcW w:w="4026"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사유</w:t>
            </w:r>
          </w:p>
        </w:tc>
      </w:tr>
      <w:tr>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2026.06.01~ 06.08</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초기 세팅: 볼린저밴드 기준 KODEX 반도체, TIGER 나스닥100 금현물, 달러SOFR, 방산·조선 원자력 등 다수 편입</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투자계획서 기준 초기 세팅 실행. 회전율 80% 충족 목적으로 매수·매도 반복 실행</w:t>
            </w:r>
          </w:p>
        </w:tc>
      </w:tr>
      <w:tr>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2026.06.01~ 06.18</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국내 볼린저밴드 기준 반복 분할매도 → 회전율 200%+ 발생</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볼린저밴드 상단 도달 시 기계적 30% 매도 원칙 적용. 추세 장세에서 밴드워크 현상으로 반복 조기 익절 발생</w:t>
            </w:r>
            <w:r>
              <w:rPr>
                <w:lang w:eastAsia="ko-KR"/>
                <w:rFonts w:ascii="맑은 고딕" w:eastAsia="맑은 고딕" w:hAnsi="맑은 고딕" w:cs="맑은 고딕"/>
                <w:sz w:val="20"/>
                <w:szCs w:val="20"/>
                <w:rtl w:val="off"/>
              </w:rPr>
              <w:t xml:space="preserve"> 및 지속적인 손절로 수익성 악화 발생</w:t>
            </w:r>
          </w:p>
        </w:tc>
      </w:tr>
      <w:tr>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2026.06</w:t>
            </w:r>
            <w:r>
              <w:rPr>
                <w:lang w:eastAsia="ko-KR"/>
                <w:rFonts w:ascii="맑은 고딕" w:eastAsia="맑은 고딕" w:hAnsi="맑은 고딕" w:cs="맑은 고딕"/>
                <w:sz w:val="20"/>
                <w:szCs w:val="20"/>
                <w:rtl w:val="off"/>
              </w:rPr>
              <w:t xml:space="preserve"> </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금현물 전량 매도</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FOMC 매파 점도표 공개(PCE 3.6% 상향) + 이란 MOU로 지정학 프리미엄 소멸 + AI 투자로 시장 유동성 금→주식 전환</w:t>
            </w:r>
          </w:p>
        </w:tc>
      </w:tr>
      <w:tr>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2026.06.18 이후</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방산·조선·원자력 비중 축소 한국섹터 전체 → 반도체 집중 전환</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 xml:space="preserve">이란 MOU 협상 진전으로 Track B 드라이버 약화 레버리지 ETF 수급 집중으로 </w:t>
            </w:r>
            <w:r>
              <w:rPr>
                <w:lang w:eastAsia="ko-KR"/>
                <w:rFonts w:ascii="맑은 고딕" w:eastAsia="맑은 고딕" w:hAnsi="맑은 고딕" w:cs="맑은 고딕"/>
                <w:sz w:val="20"/>
                <w:szCs w:val="20"/>
                <w:rtl w:val="off"/>
              </w:rPr>
              <w:t xml:space="preserve">반도체를 제외한 </w:t>
            </w:r>
            <w:r>
              <w:t>한국 섹터 독립성 소멸</w:t>
            </w:r>
          </w:p>
        </w:tc>
      </w:tr>
      <w:tr>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2026.06.</w:t>
            </w:r>
            <w:r>
              <w:rPr>
                <w:lang w:eastAsia="ko-KR"/>
                <w:rFonts w:ascii="맑은 고딕" w:eastAsia="맑은 고딕" w:hAnsi="맑은 고딕" w:cs="맑은 고딕"/>
                <w:sz w:val="20"/>
                <w:szCs w:val="20"/>
                <w:rtl w:val="off"/>
              </w:rPr>
              <w:t xml:space="preserve"> 중순 </w:t>
            </w:r>
            <w:r>
              <w:t>이후</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코스닥150 신규 편입 SOL AI반도체소부장 추가</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코스닥 30주년 정부 정책 수혜 선점 (7/1~7/3 개편 방향 확정 예정)</w:t>
            </w:r>
          </w:p>
        </w:tc>
      </w:tr>
      <w:tr>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2026.06월 말</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CD금리 1억5천만원 감소 하이일드·투자등급회사채 소량 편입</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수익률 격차 축소 위해 위험자산 비중 확대 금 매도 후 안전자산 수익 보존 수단 대체</w:t>
            </w:r>
          </w:p>
        </w:tc>
      </w:tr>
    </w:tbl>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pStyle w:val="Heading2"/>
        <w:rPr>
          <w:lang w:eastAsia="ko-KR"/>
          <w:rFonts w:ascii="맑은 고딕" w:eastAsia="맑은 고딕" w:hAnsi="맑은 고딕" w:cs="맑은 고딕" w:hint="eastAsia"/>
          <w:b/>
          <w:bCs/>
          <w:sz w:val="20"/>
          <w:szCs w:val="20"/>
          <w:rtl w:val="off"/>
        </w:rPr>
      </w:pPr>
      <w:r>
        <w:rPr>
          <w:rFonts w:ascii="맑은 고딕" w:eastAsia="맑은 고딕" w:hAnsi="맑은 고딕" w:cs="맑은 고딕"/>
          <w:b/>
          <w:bCs/>
          <w:sz w:val="20"/>
          <w:szCs w:val="20"/>
        </w:rPr>
        <w:t>■ 새</w:t>
      </w:r>
      <w:r>
        <w:rPr>
          <w:lang w:eastAsia="ko-KR"/>
          <w:rFonts w:ascii="맑은 고딕" w:eastAsia="맑은 고딕" w:hAnsi="맑은 고딕" w:cs="맑은 고딕"/>
          <w:b/>
          <w:bCs/>
          <w:sz w:val="20"/>
          <w:szCs w:val="20"/>
          <w:rtl w:val="off"/>
        </w:rPr>
        <w:t>로운 핵심</w:t>
      </w:r>
      <w:r>
        <w:rPr>
          <w:rFonts w:ascii="맑은 고딕" w:eastAsia="맑은 고딕" w:hAnsi="맑은 고딕" w:cs="맑은 고딕"/>
          <w:b/>
          <w:bCs/>
          <w:sz w:val="20"/>
          <w:szCs w:val="20"/>
        </w:rPr>
        <w:t xml:space="preserve"> 전략: 하이킨아시(Heikin-Ashi) + 스무딩 하이킨아시</w:t>
      </w: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 볼린저밴드 폐기 사유 ]</w:t>
      </w:r>
    </w:p>
    <w:p>
      <w:pPr>
        <w:jc w:val="both"/>
        <w:spacing w:after="60" w:before="6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투자계획서에서 볼린저밴드를 '정규분포의 μ ± 2σ 신뢰구간 가설 검정 프레임워크'로 채택하였으나, 6월 코스피 9,000선 돌파라는 강한 추세 장세에서 구조적 한계가 드러났다. 볼린저밴드 상단을 연속으로 돌파하면서 밴드 자체가 상방으로 팽창·이동하는 '밴드워크(Band Walking)' 현상이 발생하였고, 상단 이탈을 매도 신호로 해석하는 전략은 추세를 역행하는 조기 익절을 반복시켰다. 6월 중 회전율이 200%를 초과하는 과도한 매매가 발생하였음에도 실질 수익률이 오히려 하락하는 결과를 낳았다. 이에 투자계획서 1-7항 전체(볼린저밴드 기반 진입 원칙 및 보조지표 MACD·RSI·CCI·삼각수렴 체계)를 7월부터 완전 폐기한다.</w:t>
      </w:r>
    </w:p>
    <w:p>
      <w:pPr>
        <w:jc w:val="both"/>
        <w:spacing w:after="60" w:before="60"/>
        <w:rPr>
          <w:lang w:eastAsia="ko-KR"/>
          <w:rFonts w:ascii="맑은 고딕" w:eastAsia="맑은 고딕" w:hAnsi="맑은 고딕" w:cs="맑은 고딕" w:hint="eastAsia"/>
          <w:b w:val="0"/>
          <w:bCs w:val="0"/>
          <w:sz w:val="20"/>
          <w:szCs w:val="20"/>
          <w:rtl w:val="off"/>
        </w:rPr>
      </w:pPr>
    </w:p>
    <w:p>
      <w:pPr>
        <w:jc w:val="both"/>
        <w:spacing w:after="60" w:before="60"/>
        <w:rPr>
          <w:rFonts w:ascii="맑은 고딕" w:eastAsia="맑은 고딕" w:hAnsi="맑은 고딕" w:hint="default"/>
        </w:rPr>
      </w:pPr>
      <w:r>
        <w:rPr>
          <w:lang w:eastAsia="ko-KR"/>
          <w:rFonts w:ascii="맑은 고딕" w:eastAsia="맑은 고딕" w:hAnsi="맑은 고딕" w:cs="맑은 고딕"/>
          <w:b w:val="0"/>
          <w:bCs w:val="0"/>
          <w:sz w:val="20"/>
          <w:szCs w:val="20"/>
          <w:rtl w:val="off"/>
        </w:rPr>
        <w:t xml:space="preserve">또한, 현재 극심한 변동성과 상대적 수익률 저조로 기존의 장기투자 관점에서 스윙매매로 전환한다. 금융위원회의 개별상품 레버리지에 대한 정책변경이나, 장기적 추세를 바꿀만한 이벤트 발생 및 장기적 관점에서 가치투자적으로 수익성이 뛰어날 것으로 예상되는 섹터가 새로 생기지 않는 한, 7월달은 스윙거래 위주로 투자전략을 실시한다. </w:t>
      </w:r>
    </w:p>
    <w:p>
      <w:pPr>
        <w:pStyle w:val="a1"/>
        <w:rPr>
          <w:lang w:eastAsia="ko-KR"/>
          <w:rFonts w:ascii="맑은 고딕" w:eastAsia="맑은 고딕" w:hAnsi="맑은 고딕" w:hint="eastAsia"/>
          <w:rtl w:val="off"/>
        </w:rPr>
      </w:pPr>
    </w:p>
    <w:p>
      <w:pPr>
        <w:pStyle w:val="a1"/>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 하이킨아시의 이론적 배경 ]</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하이킨아시는 1970년대 일본 선물 트레이더들이 개발한 추세 시각화 차트 기법으로, 일본어로 '평균 발자국(平均足)'을 의미한다. 일반 캔들차트가 실제 시가·고가·저가·종가를 그대로 표시하는 것과 달리, 하이킨아시는 이 네 가지 가격을 아래와 같이 평균화하여 재계산한다.</w:t>
      </w:r>
    </w:p>
    <w:p>
      <w:pPr>
        <w:spacing w:after="40" w:before="40"/>
        <w:rPr>
          <w:rFonts w:ascii="맑은 고딕" w:eastAsia="맑은 고딕" w:hAnsi="맑은 고딕" w:hint="defaul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26"/>
      </w:tblGrid>
      <w:t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항목</w:t>
            </w:r>
          </w:p>
        </w:tc>
        <w:tc>
          <w:tcPr>
            <w:tcW w:w="6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계산식</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하이킨아시 종가</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(시가 + 고가 + 저가 + 종가) ÷ 4</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하이킨아시 시가</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전일 하이킨아시 (시가 + 종가) ÷ 2</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하이킨아시 고가</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max(실제 고가, 하이킨아시 시가, 하이킨아시 종가)</w:t>
            </w:r>
          </w:p>
        </w:tc>
      </w:tr>
      <w:t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하이킨아시 저가</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min(실제 저가, 하이킨아시 시가, 하이킨아시 종가)</w:t>
            </w:r>
          </w:p>
        </w:tc>
      </w:tr>
    </w:tbl>
    <w:p>
      <w:pPr>
        <w:spacing w:after="40" w:before="4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이 평균화 과정이 단기 노이즈를 구조적으로 제거하여 추세를 부드럽게한다. 볼린저밴드가 '현재 가격의 통계적 위치'를 보는 상태 지표라면, 하이킨아시는 '지금 추세가 살아있는가, 전환되는가'를 보는 방향 지표다.</w:t>
      </w: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 캔들 해석 원칙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200"/>
        <w:gridCol w:w="3326"/>
      </w:tblGrid>
      <w:t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캔들 유형</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형태</w:t>
            </w:r>
          </w:p>
        </w:tc>
        <w:tc>
          <w:tcPr>
            <w:tcW w:w="33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의미</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강세 양봉</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밑꼬리 없음, 윗꼬리 길고 몸통 큼</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상승 추세 강하게 유지 중</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약세 음봉</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윗꼬리 없음, 밑꼬리만 길게 발생</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하락 추세 진행 중</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도지 캔들</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몸통 짧고 위아래 꼬리 동시 출현</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추세 방향성 소멸, 전환 임박 경보</w:t>
            </w:r>
          </w:p>
        </w:tc>
      </w:tr>
    </w:tbl>
    <w:p>
      <w:pPr>
        <w:spacing w:after="40" w:before="4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도지 캔들이 연속 출현하는 구간에서는 방향을 예측하지 않고 무조건 관망한다. 도지 이후 직전 캔들의 몸통을 확실하게 돌파하는 강한 방향성 캔들이 출현할 때가 진입 타점이다.</w:t>
      </w:r>
    </w:p>
    <w:p>
      <w:pPr>
        <w:spacing w:after="40" w:before="40"/>
        <w:rPr>
          <w:lang w:eastAsia="ko-KR"/>
          <w:rFonts w:ascii="맑은 고딕" w:eastAsia="맑은 고딕" w:hAnsi="맑은 고딕" w:hint="eastAsia"/>
          <w:rtl w:val="off"/>
        </w:rPr>
      </w:pP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 팀 적용 방식:</w:t>
      </w:r>
      <w:r>
        <w:rPr>
          <w:lang w:eastAsia="ko-KR"/>
          <w:rFonts w:ascii="맑은 고딕" w:eastAsia="맑은 고딕" w:hAnsi="맑은 고딕" w:cs="맑은 고딕"/>
          <w:b/>
          <w:bCs/>
          <w:sz w:val="20"/>
          <w:szCs w:val="20"/>
          <w:rtl w:val="off"/>
        </w:rPr>
        <w:t xml:space="preserve"> </w:t>
      </w:r>
      <w:r>
        <w:rPr>
          <w:rFonts w:ascii="맑은 고딕" w:eastAsia="맑은 고딕" w:hAnsi="맑은 고딕" w:cs="맑은 고딕"/>
          <w:b/>
          <w:bCs/>
          <w:sz w:val="20"/>
          <w:szCs w:val="20"/>
        </w:rPr>
        <w:t>스무딩 하이킨아시(Smoothed Heikin-Ashi)</w:t>
      </w:r>
      <w:r>
        <w:rPr>
          <w:lang w:eastAsia="ko-KR"/>
          <w:rFonts w:ascii="맑은 고딕" w:eastAsia="맑은 고딕" w:hAnsi="맑은 고딕" w:cs="맑은 고딕"/>
          <w:b/>
          <w:bCs/>
          <w:sz w:val="20"/>
          <w:szCs w:val="20"/>
          <w:rtl w:val="off"/>
        </w:rPr>
        <w:t>를 이용한 스윙전략 도입</w:t>
      </w:r>
      <w:r>
        <w:rPr>
          <w:rFonts w:ascii="맑은 고딕" w:eastAsia="맑은 고딕" w:hAnsi="맑은 고딕" w:cs="맑은 고딕"/>
          <w:b/>
          <w:bCs/>
          <w:sz w:val="20"/>
          <w:szCs w:val="20"/>
        </w:rPr>
        <w:t xml:space="preserve"> ]</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팀은 일반 하이킨아시가 아닌 2단계 EMA 스무딩을 적용한 스무딩 하이킨아시를 사용한다. 이는 다음과 같이 작동한다.</w:t>
      </w:r>
    </w:p>
    <w:p>
      <w:pPr>
        <w:pStyle w:val="af1"/>
        <w:numPr>
          <w:ilvl w:val="0"/>
          <w:numId w:val="1"/>
        </w:numPr>
        <w:rPr>
          <w:rFonts w:ascii="맑은 고딕" w:eastAsia="맑은 고딕" w:hAnsi="맑은 고딕" w:hint="default"/>
        </w:rPr>
      </w:pPr>
      <w:r>
        <w:rPr>
          <w:rFonts w:ascii="맑은 고딕" w:eastAsia="맑은 고딕" w:hAnsi="맑은 고딕" w:hint="default"/>
        </w:rPr>
        <w:t>1단계: 원본 OHLC 각각에 EMA(10)을 적용하여 1차 노이즈를 제거한다.</w:t>
      </w:r>
    </w:p>
    <w:p>
      <w:pPr>
        <w:pStyle w:val="af1"/>
        <w:numPr>
          <w:ilvl w:val="0"/>
          <w:numId w:val="1"/>
        </w:numPr>
        <w:rPr>
          <w:rFonts w:ascii="맑은 고딕" w:eastAsia="맑은 고딕" w:hAnsi="맑은 고딕" w:hint="default"/>
        </w:rPr>
      </w:pPr>
      <w:r>
        <w:rPr>
          <w:rFonts w:ascii="맑은 고딕" w:eastAsia="맑은 고딕" w:hAnsi="맑은 고딕" w:hint="default"/>
        </w:rPr>
        <w:t>2단계: 1차 스무딩된 값으로 하이킨아시를 계산한다.</w:t>
      </w:r>
    </w:p>
    <w:p>
      <w:pPr>
        <w:pStyle w:val="af1"/>
        <w:numPr>
          <w:ilvl w:val="0"/>
          <w:numId w:val="1"/>
        </w:numPr>
        <w:rPr>
          <w:rFonts w:ascii="맑은 고딕" w:eastAsia="맑은 고딕" w:hAnsi="맑은 고딕" w:hint="default"/>
        </w:rPr>
      </w:pPr>
      <w:r>
        <w:rPr>
          <w:rFonts w:ascii="맑은 고딕" w:eastAsia="맑은 고딕" w:hAnsi="맑은 고딕" w:hint="default"/>
        </w:rPr>
        <w:t>3단계: 산출된 하이킨아시 값에 다시 EMA(10)을 적용하여 2차 스무딩을 완성한다.</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이중 스무딩 과정을 거치면 단순 하이킨아시보다 추세가 훨씬 명확하게 가시화되며, 중간 조정에서 발생하는 가짜 전환 신호(False Signal)가 대폭 감소한다.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 xml:space="preserve">[ 복합 신호 체계: 승률 제고를 위한 </w:t>
      </w:r>
      <w:r>
        <w:rPr>
          <w:lang w:eastAsia="ko-KR"/>
          <w:rFonts w:ascii="맑은 고딕" w:eastAsia="맑은 고딕" w:hAnsi="맑은 고딕" w:cs="맑은 고딕"/>
          <w:b/>
          <w:bCs/>
          <w:sz w:val="20"/>
          <w:szCs w:val="20"/>
          <w:rtl w:val="off"/>
        </w:rPr>
        <w:t>3</w:t>
      </w:r>
      <w:r>
        <w:rPr>
          <w:rFonts w:ascii="맑은 고딕" w:eastAsia="맑은 고딕" w:hAnsi="맑은 고딕" w:cs="맑은 고딕"/>
          <w:b/>
          <w:bCs/>
          <w:sz w:val="20"/>
          <w:szCs w:val="20"/>
        </w:rPr>
        <w:t>중 필터 ]</w:t>
      </w:r>
    </w:p>
    <w:p>
      <w:pPr>
        <w:jc w:val="both"/>
        <w:spacing w:after="80" w:before="8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 xml:space="preserve">단순 하이킨아시 신호만으로 진입하지 않으며, 다음 </w:t>
      </w:r>
      <w:r>
        <w:rPr>
          <w:lang w:eastAsia="ko-KR"/>
          <w:rFonts w:ascii="맑은 고딕" w:eastAsia="맑은 고딕" w:hAnsi="맑은 고딕" w:cs="맑은 고딕"/>
          <w:b w:val="0"/>
          <w:bCs w:val="0"/>
          <w:sz w:val="20"/>
          <w:szCs w:val="20"/>
          <w:rtl w:val="off"/>
        </w:rPr>
        <w:t>3</w:t>
      </w:r>
      <w:r>
        <w:rPr>
          <w:rFonts w:ascii="맑은 고딕" w:eastAsia="맑은 고딕" w:hAnsi="맑은 고딕" w:cs="맑은 고딕"/>
          <w:b w:val="0"/>
          <w:bCs w:val="0"/>
          <w:sz w:val="20"/>
          <w:szCs w:val="20"/>
        </w:rPr>
        <w:t>가지 조건을 교차 검증한다.</w:t>
      </w:r>
    </w:p>
    <w:p>
      <w:pPr>
        <w:jc w:val="both"/>
        <w:spacing w:after="80" w:before="8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① 지지·저항 돌파 확인</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캔들의 꼬리가 지지선이나 저항선을 건드리는 것이 아니라, 하이킨아시 캔들의 몸통 자체가 해당 레벨을 완전히 돌파하고 마감했을 때만 유효한 신호로 인정</w:t>
      </w:r>
      <w:r>
        <w:rPr>
          <w:lang w:eastAsia="ko-KR"/>
          <w:rFonts w:ascii="맑은 고딕" w:eastAsia="맑은 고딕" w:hAnsi="맑은 고딕" w:cs="맑은 고딕"/>
          <w:b w:val="0"/>
          <w:bCs w:val="0"/>
          <w:sz w:val="20"/>
          <w:szCs w:val="20"/>
          <w:rtl w:val="off"/>
        </w:rPr>
        <w:t>하기로 한다</w:t>
      </w:r>
      <w:r>
        <w:rPr>
          <w:rFonts w:ascii="맑은 고딕" w:eastAsia="맑은 고딕" w:hAnsi="맑은 고딕" w:cs="맑은 고딕"/>
          <w:b w:val="0"/>
          <w:bCs w:val="0"/>
          <w:sz w:val="20"/>
          <w:szCs w:val="20"/>
        </w:rPr>
        <w:t>.</w:t>
      </w:r>
    </w:p>
    <w:p>
      <w:pPr>
        <w:spacing w:after="40" w:before="4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② 거래량 검증</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도지 캔들이 발생하여 눌림목이 진행되는 구간에서는 거래량이 축소되어야 신뢰도가 높다. 이후 방향이 확정되는 돌파 타점에서 거래량이 20일 평균 대비 증가하는지를 반드시 확인한다. 거래량 급증이 없는 돌파는 가짜 신호일 가능성이 높다.</w:t>
      </w:r>
    </w:p>
    <w:p>
      <w:pPr>
        <w:spacing w:after="40" w:before="40"/>
        <w:rPr>
          <w:rFonts w:ascii="맑은 고딕" w:eastAsia="맑은 고딕" w:hAnsi="맑은 고딕" w:hint="default"/>
        </w:rPr>
      </w:pPr>
    </w:p>
    <w:p>
      <w:pPr>
        <w:jc w:val="both"/>
        <w:spacing w:after="80" w:before="80"/>
        <w:rPr>
          <w:rFonts w:ascii="맑은 고딕" w:eastAsia="맑은 고딕" w:hAnsi="맑은 고딕" w:hint="default"/>
        </w:rPr>
      </w:pPr>
      <w:r>
        <w:rPr>
          <w:rFonts w:ascii="맑은 고딕" w:eastAsia="맑은 고딕" w:hAnsi="맑은 고딕" w:cs="맑은 고딕"/>
          <w:b/>
          <w:bCs/>
          <w:sz w:val="20"/>
          <w:szCs w:val="20"/>
        </w:rPr>
        <w:t>③ EMA 20 방향 확인</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단순히 가격이 EMA 20을 돌파했다고 진입하지 않는다. EMA 20의 방향 자체가 하락에서 수평 또는 상승으로 꺾이는 시점에서 밑꼬리 없는 강한 양봉이 EMA 위에 안착했을 때 진입한다. 손절선은 EMA 20 위치로 설정한다.</w:t>
      </w: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 타임프레임 운용 원칙 ]</w:t>
      </w:r>
    </w:p>
    <w:p>
      <w:pPr>
        <w:pStyle w:val="af1"/>
        <w:numPr>
          <w:ilvl w:val="0"/>
          <w:numId w:val="2"/>
        </w:numPr>
        <w:spacing w:after="40" w:before="40"/>
        <w:rPr>
          <w:rFonts w:ascii="맑은 고딕" w:eastAsia="맑은 고딕" w:hAnsi="맑은 고딕" w:hint="default"/>
        </w:rPr>
      </w:pPr>
      <w:r>
        <w:rPr>
          <w:lang w:eastAsia="ko-KR"/>
          <w:rFonts w:ascii="맑은 고딕" w:eastAsia="맑은 고딕" w:hAnsi="맑은 고딕" w:hint="default"/>
          <w:b/>
          <w:bCs/>
          <w:rtl w:val="off"/>
        </w:rPr>
        <w:t>일봉</w:t>
      </w:r>
      <w:r>
        <w:rPr>
          <w:rFonts w:ascii="맑은 고딕" w:eastAsia="맑은 고딕" w:hAnsi="맑은 고딕" w:hint="default"/>
        </w:rPr>
        <w:t>: 중장기 추세 방향 결정 (가장 상위 필터)</w:t>
      </w:r>
    </w:p>
    <w:p>
      <w:pPr>
        <w:pStyle w:val="af1"/>
        <w:numPr>
          <w:ilvl w:val="0"/>
          <w:numId w:val="2"/>
        </w:numPr>
        <w:spacing w:after="40" w:before="40"/>
        <w:rPr>
          <w:rFonts w:ascii="맑은 고딕" w:eastAsia="맑은 고딕" w:hAnsi="맑은 고딕" w:hint="default"/>
        </w:rPr>
      </w:pPr>
      <w:r>
        <w:rPr>
          <w:rFonts w:ascii="맑은 고딕" w:eastAsia="맑은 고딕" w:hAnsi="맑은 고딕" w:hint="default"/>
          <w:b/>
          <w:bCs/>
        </w:rPr>
        <w:t>60분봉</w:t>
      </w:r>
      <w:r>
        <w:rPr>
          <w:rFonts w:ascii="맑은 고딕" w:eastAsia="맑은 고딕" w:hAnsi="맑은 고딕" w:hint="default"/>
        </w:rPr>
        <w:t>: 추세 검증</w:t>
      </w:r>
      <w:r>
        <w:rPr>
          <w:lang w:eastAsia="ko-KR"/>
          <w:rFonts w:ascii="맑은 고딕" w:eastAsia="맑은 고딕" w:hAnsi="맑은 고딕" w:hint="default"/>
          <w:rtl w:val="off"/>
        </w:rPr>
        <w:t xml:space="preserve"> 및 진입</w:t>
      </w:r>
      <w:r>
        <w:rPr>
          <w:rFonts w:ascii="맑은 고딕" w:eastAsia="맑은 고딕" w:hAnsi="맑은 고딕" w:hint="default"/>
        </w:rPr>
        <w:t xml:space="preserve"> —  </w:t>
      </w:r>
      <w:r>
        <w:rPr>
          <w:lang w:eastAsia="ko-KR"/>
          <w:rFonts w:ascii="맑은 고딕" w:eastAsia="맑은 고딕" w:hAnsi="맑은 고딕" w:hint="default"/>
          <w:rtl w:val="off"/>
        </w:rPr>
        <w:t xml:space="preserve">도지캔들 이후 </w:t>
      </w:r>
      <w:r>
        <w:rPr>
          <w:rFonts w:ascii="맑은 고딕" w:eastAsia="맑은 고딕" w:hAnsi="맑은 고딕" w:hint="default"/>
        </w:rPr>
        <w:t>HA 녹색</w:t>
      </w:r>
      <w:r>
        <w:rPr>
          <w:lang w:eastAsia="ko-KR"/>
          <w:rFonts w:ascii="맑은 고딕" w:eastAsia="맑은 고딕" w:hAnsi="맑은 고딕" w:hint="default"/>
          <w:rtl w:val="off"/>
        </w:rPr>
        <w:t>이며</w:t>
      </w:r>
      <w:r>
        <w:rPr>
          <w:rFonts w:ascii="맑은 고딕" w:eastAsia="맑은 고딕" w:hAnsi="맑은 고딕" w:hint="default"/>
        </w:rPr>
        <w:t xml:space="preserve"> 밑꼬리 없는 강한 양봉 확인</w:t>
      </w:r>
      <w:r>
        <w:rPr>
          <w:lang w:eastAsia="ko-KR"/>
          <w:rFonts w:ascii="맑은 고딕" w:eastAsia="맑은 고딕" w:hAnsi="맑은 고딕" w:hint="default"/>
          <w:rtl w:val="off"/>
        </w:rPr>
        <w:t xml:space="preserve"> 충족시 진입</w:t>
      </w:r>
    </w:p>
    <w:p>
      <w:pPr>
        <w:pStyle w:val="af1"/>
        <w:numPr>
          <w:ilvl w:val="0"/>
          <w:numId w:val="2"/>
        </w:numPr>
        <w:spacing w:after="40" w:before="40"/>
        <w:rPr>
          <w:rFonts w:ascii="맑은 고딕" w:eastAsia="맑은 고딕" w:hAnsi="맑은 고딕" w:hint="default"/>
        </w:rPr>
      </w:pPr>
      <w:r>
        <w:rPr>
          <w:rFonts w:ascii="맑은 고딕" w:eastAsia="맑은 고딕" w:hAnsi="맑은 고딕" w:hint="default"/>
          <w:b/>
          <w:bCs/>
        </w:rPr>
        <w:t>15분봉</w:t>
      </w:r>
      <w:r>
        <w:rPr>
          <w:rFonts w:ascii="맑은 고딕" w:eastAsia="맑은 고딕" w:hAnsi="맑은 고딕" w:hint="default"/>
        </w:rPr>
        <w:t xml:space="preserve">: 진입 타점 확정 — </w:t>
      </w:r>
      <w:r>
        <w:rPr>
          <w:lang w:eastAsia="ko-KR"/>
          <w:rFonts w:ascii="맑은 고딕" w:eastAsia="맑은 고딕" w:hAnsi="맑은 고딕" w:hint="default"/>
          <w:rtl w:val="off"/>
        </w:rPr>
        <w:t>15분 기준 HA</w:t>
      </w:r>
      <w:r>
        <w:rPr>
          <w:rFonts w:ascii="맑은 고딕" w:eastAsia="맑은 고딕" w:hAnsi="맑은 고딕" w:hint="default"/>
        </w:rPr>
        <w:t xml:space="preserve"> 2봉 확인 + 밑꼬리 없는 양봉 + EMA20 위 안착 (3조건 동시 충족</w:t>
      </w:r>
      <w:r>
        <w:rPr>
          <w:lang w:eastAsia="ko-KR"/>
          <w:rFonts w:ascii="맑은 고딕" w:eastAsia="맑은 고딕" w:hAnsi="맑은 고딕" w:hint="default"/>
          <w:rtl w:val="off"/>
        </w:rPr>
        <w:t>시 진입</w:t>
      </w:r>
    </w:p>
    <w:p>
      <w:pPr>
        <w:pStyle w:val="af1"/>
        <w:numPr>
          <w:ilvl w:val="0"/>
          <w:numId w:val="2"/>
        </w:numPr>
        <w:spacing w:after="40" w:before="40"/>
        <w:rPr>
          <w:rFonts w:ascii="맑은 고딕" w:eastAsia="맑은 고딕" w:hAnsi="맑은 고딕" w:hint="default"/>
        </w:rPr>
      </w:pPr>
      <w:r>
        <w:rPr>
          <w:rFonts w:ascii="맑은 고딕" w:eastAsia="맑은 고딕" w:hAnsi="맑은 고딕" w:hint="default"/>
          <w:b/>
          <w:bCs/>
        </w:rPr>
        <w:t>손절</w:t>
      </w:r>
      <w:r>
        <w:rPr>
          <w:rFonts w:ascii="맑은 고딕" w:eastAsia="맑은 고딕" w:hAnsi="맑은 고딕" w:hint="default"/>
        </w:rPr>
        <w:t>: 히말라야 색상 전환 확정 또는 EMA20 하향 이탈 중 먼저 발생하는 조건</w:t>
      </w:r>
    </w:p>
    <w:p>
      <w:pPr>
        <w:pStyle w:val="af1"/>
        <w:numPr>
          <w:ilvl w:val="0"/>
          <w:numId w:val="2"/>
        </w:numPr>
        <w:spacing w:after="40" w:before="40"/>
        <w:rPr>
          <w:lang w:eastAsia="ko-KR"/>
          <w:rFonts w:ascii="맑은 고딕" w:eastAsia="맑은 고딕" w:hAnsi="맑은 고딕" w:hint="eastAsia"/>
          <w:rtl w:val="off"/>
        </w:rPr>
      </w:pPr>
      <w:r>
        <w:rPr>
          <w:rFonts w:ascii="맑은 고딕" w:eastAsia="맑은 고딕" w:hAnsi="맑은 고딕" w:hint="default"/>
          <w:b/>
          <w:bCs/>
        </w:rPr>
        <w:t>불타기</w:t>
      </w:r>
      <w:r>
        <w:rPr>
          <w:lang w:eastAsia="ko-KR"/>
          <w:rFonts w:ascii="맑은 고딕" w:eastAsia="맑은 고딕" w:hAnsi="맑은 고딕" w:hint="default"/>
          <w:b/>
          <w:bCs/>
          <w:rtl w:val="off"/>
        </w:rPr>
        <w:t>(평단가 이상의 추가매수)</w:t>
      </w:r>
      <w:r>
        <w:rPr>
          <w:rFonts w:ascii="맑은 고딕" w:eastAsia="맑은 고딕" w:hAnsi="맑은 고딕" w:hint="default"/>
        </w:rPr>
        <w:t xml:space="preserve">: 15분봉 눌림목에서 60분봉·4시간봉 </w:t>
      </w:r>
      <w:r>
        <w:rPr>
          <w:lang w:eastAsia="ko-KR"/>
          <w:rFonts w:ascii="맑은 고딕" w:eastAsia="맑은 고딕" w:hAnsi="맑은 고딕" w:hint="default"/>
          <w:rtl w:val="off"/>
        </w:rPr>
        <w:t xml:space="preserve">스무딩 하이캔아시 캔들 </w:t>
      </w:r>
      <w:r>
        <w:rPr>
          <w:rFonts w:ascii="맑은 고딕" w:eastAsia="맑은 고딕" w:hAnsi="맑은 고딕" w:hint="default"/>
        </w:rPr>
        <w:t>녹색 유지 시 현금의 20% 추가 진입</w:t>
      </w:r>
    </w:p>
    <w:p>
      <w:pPr>
        <w:pStyle w:val="af1"/>
        <w:numPr>
          <w:ilvl w:val="0"/>
          <w:numId w:val="2"/>
        </w:numPr>
        <w:spacing w:after="40" w:before="40"/>
        <w:rPr>
          <w:lang w:eastAsia="ko-KR"/>
          <w:rFonts w:ascii="맑은 고딕" w:eastAsia="맑은 고딕" w:hAnsi="맑은 고딕" w:hint="eastAsia"/>
          <w:rtl w:val="off"/>
        </w:rPr>
      </w:pPr>
      <w:r>
        <w:rPr>
          <w:lang w:eastAsia="ko-KR"/>
          <w:rFonts w:ascii="맑은 고딕" w:eastAsia="맑은 고딕" w:hAnsi="맑은 고딕" w:hint="default"/>
          <w:b/>
          <w:bCs/>
          <w:rtl w:val="off"/>
        </w:rPr>
        <w:t>수익실현(추세와 동일 방향</w:t>
      </w:r>
      <w:r>
        <w:rPr>
          <w:lang w:eastAsia="ko-KR"/>
          <w:rFonts w:ascii="맑은 고딕" w:eastAsia="맑은 고딕" w:hAnsi="맑은 고딕" w:hint="default"/>
          <w:rtl w:val="off"/>
        </w:rPr>
        <w:t xml:space="preserve">) : 진입가 대비 이전의 음봉과의 가격차를 기준한 손익비 1:2를 적용하여 20%(진입가 기준 비율이며 이하 동일), 하이캔아시 도지캔들 발생시에 40%. 스무딩 하이캔아시에서 음봉이 나타나는 경우 수익실현을 원칙으로 한다. </w:t>
      </w:r>
    </w:p>
    <w:p>
      <w:pPr>
        <w:pStyle w:val="af1"/>
        <w:numPr>
          <w:ilvl w:val="0"/>
          <w:numId w:val="2"/>
        </w:numPr>
        <w:spacing w:after="40" w:before="40"/>
        <w:rPr>
          <w:lang w:eastAsia="ko-KR"/>
          <w:rFonts w:ascii="맑은 고딕" w:eastAsia="맑은 고딕" w:hAnsi="맑은 고딕" w:hint="eastAsia"/>
          <w:rtl w:val="off"/>
        </w:rPr>
      </w:pPr>
      <w:r>
        <w:rPr>
          <w:lang w:eastAsia="ko-KR"/>
          <w:rFonts w:ascii="맑은 고딕" w:eastAsia="맑은 고딕" w:hAnsi="맑은 고딕" w:hint="default"/>
          <w:b/>
          <w:bCs/>
          <w:rtl w:val="off"/>
        </w:rPr>
        <w:t>수익실현(추세와 반대 방향)</w:t>
      </w:r>
      <w:r>
        <w:rPr>
          <w:lang w:eastAsia="ko-KR"/>
          <w:rFonts w:ascii="맑은 고딕" w:eastAsia="맑은 고딕" w:hAnsi="맑은 고딕" w:hint="default"/>
          <w:rtl w:val="off"/>
        </w:rPr>
        <w:t xml:space="preserve"> : </w:t>
      </w:r>
      <w:r>
        <w:rPr>
          <w:lang w:eastAsia="ko-KR"/>
          <w:rFonts w:ascii="맑은 고딕" w:eastAsia="맑은 고딕" w:hAnsi="맑은 고딕" w:hint="default"/>
          <w:rtl w:val="off"/>
        </w:rPr>
        <w:t xml:space="preserve">진입가 대비 이전의 음봉과의 가격차를 기준한 손익비 1:2를 적용하여 50%(진입가 기준 비율이며 이하 동일),  하이캔아시 도지캔들 발생시에 30% 스무딩 하이캔아시에서 음봉이 나타나는 경우 20% 수익실현을 원칙으로 한다. </w:t>
      </w:r>
      <w:r>
        <w:rPr>
          <w:rFonts w:ascii="맑은 고딕" w:eastAsia="맑은 고딕" w:hAnsi="맑은 고딕" w:cs="맑은 고딕"/>
          <w:b w:val="0"/>
          <w:bCs w:val="0"/>
          <w:sz w:val="20"/>
          <w:szCs w:val="20"/>
        </w:rPr>
        <w:t xml:space="preserve">일봉 추세에 역행하는 </w:t>
      </w:r>
      <w:r>
        <w:rPr>
          <w:lang w:eastAsia="ko-KR"/>
          <w:rFonts w:ascii="맑은 고딕" w:eastAsia="맑은 고딕" w:hAnsi="맑은 고딕" w:cs="맑은 고딕"/>
          <w:b w:val="0"/>
          <w:bCs w:val="0"/>
          <w:sz w:val="20"/>
          <w:szCs w:val="20"/>
          <w:rtl w:val="off"/>
        </w:rPr>
        <w:t xml:space="preserve">경우에는 2일~3일 이상 보유하지 않는 것을 원칙으로 한다. </w:t>
      </w:r>
    </w:p>
    <w:p>
      <w:pPr>
        <w:pStyle w:val="af1"/>
        <w:ind w:leftChars="0" w:left="720"/>
        <w:spacing w:after="40" w:before="40"/>
        <w:rPr>
          <w:lang w:eastAsia="ko-KR"/>
          <w:rFonts w:ascii="맑은 고딕" w:eastAsia="맑은 고딕" w:hAnsi="맑은 고딕" w:cs="맑은 고딕" w:hint="eastAsia"/>
          <w:b w:val="0"/>
          <w:bCs w:val="0"/>
          <w:sz w:val="20"/>
          <w:szCs w:val="20"/>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pStyle w:val="Heading1"/>
        <w:spacing w:after="100" w:before="180"/>
        <w:rPr>
          <w:rFonts w:ascii="맑은 고딕" w:eastAsia="맑은 고딕" w:hAnsi="맑은 고딕" w:hint="default"/>
          <w:sz w:val="20"/>
          <w:szCs w:val="20"/>
        </w:rPr>
      </w:pPr>
      <w:r>
        <w:rPr>
          <w:rFonts w:ascii="맑은 고딕" w:eastAsia="맑은 고딕" w:hAnsi="맑은 고딕" w:cs="맑은 고딕"/>
          <w:b/>
          <w:bCs/>
          <w:color w:val="1F3864"/>
          <w:sz w:val="24"/>
          <w:szCs w:val="24"/>
        </w:rPr>
        <w:t>3. 익월 전망 및 투자전략</w:t>
      </w:r>
    </w:p>
    <w:p>
      <w:pPr>
        <w:spacing w:after="60" w:before="140"/>
        <w:rPr>
          <w:rFonts w:ascii="맑은 고딕" w:eastAsia="맑은 고딕" w:hAnsi="맑은 고딕" w:hint="default"/>
        </w:rPr>
      </w:pPr>
      <w:r>
        <w:rPr>
          <w:rFonts w:ascii="맑은 고딕" w:eastAsia="맑은 고딕" w:hAnsi="맑은 고딕" w:cs="맑은 고딕"/>
          <w:b/>
          <w:bCs/>
          <w:color w:val="2E4F8C"/>
          <w:sz w:val="20"/>
          <w:szCs w:val="20"/>
        </w:rPr>
        <w:t>■ 7월 자산별 전망</w:t>
      </w: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 국내주식 — 반도체 집중, 비중 소폭 확대 ]</w:t>
      </w:r>
    </w:p>
    <w:p>
      <w:pPr>
        <w:jc w:val="both"/>
        <w:spacing w:after="60" w:before="6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 xml:space="preserve">7월 국내주식 비중을 현재 </w:t>
      </w:r>
      <w:r>
        <w:rPr>
          <w:lang w:eastAsia="ko-KR"/>
          <w:rFonts w:ascii="맑은 고딕" w:eastAsia="맑은 고딕" w:hAnsi="맑은 고딕" w:cs="맑은 고딕"/>
          <w:b w:val="0"/>
          <w:bCs w:val="0"/>
          <w:sz w:val="20"/>
          <w:szCs w:val="20"/>
          <w:rtl w:val="off"/>
        </w:rPr>
        <w:t>32</w:t>
      </w:r>
      <w:r>
        <w:rPr>
          <w:rFonts w:ascii="맑은 고딕" w:eastAsia="맑은 고딕" w:hAnsi="맑은 고딕" w:cs="맑은 고딕"/>
          <w:b w:val="0"/>
          <w:bCs w:val="0"/>
          <w:sz w:val="20"/>
          <w:szCs w:val="20"/>
        </w:rPr>
        <w:t>%(</w:t>
      </w:r>
      <w:r>
        <w:rPr>
          <w:lang w:eastAsia="ko-KR"/>
          <w:rFonts w:ascii="맑은 고딕" w:eastAsia="맑은 고딕" w:hAnsi="맑은 고딕" w:cs="맑은 고딕"/>
          <w:b w:val="0"/>
          <w:bCs w:val="0"/>
          <w:sz w:val="20"/>
          <w:szCs w:val="20"/>
          <w:rtl w:val="off"/>
        </w:rPr>
        <w:t>코스피</w:t>
      </w:r>
      <w:r>
        <w:rPr>
          <w:rFonts w:ascii="맑은 고딕" w:eastAsia="맑은 고딕" w:hAnsi="맑은 고딕" w:cs="맑은 고딕"/>
          <w:b w:val="0"/>
          <w:bCs w:val="0"/>
          <w:sz w:val="20"/>
          <w:szCs w:val="20"/>
        </w:rPr>
        <w:t xml:space="preserve"> </w:t>
      </w:r>
      <w:r>
        <w:rPr>
          <w:lang w:eastAsia="ko-KR"/>
          <w:rFonts w:ascii="맑은 고딕" w:eastAsia="맑은 고딕" w:hAnsi="맑은 고딕" w:cs="맑은 고딕"/>
          <w:b w:val="0"/>
          <w:bCs w:val="0"/>
          <w:sz w:val="20"/>
          <w:szCs w:val="20"/>
          <w:rtl w:val="off"/>
        </w:rPr>
        <w:t>12</w:t>
      </w:r>
      <w:r>
        <w:rPr>
          <w:rFonts w:ascii="맑은 고딕" w:eastAsia="맑은 고딕" w:hAnsi="맑은 고딕" w:cs="맑은 고딕"/>
          <w:b w:val="0"/>
          <w:bCs w:val="0"/>
          <w:sz w:val="20"/>
          <w:szCs w:val="20"/>
        </w:rPr>
        <w:t>% + 코스닥 10% + 한국섹터</w:t>
      </w:r>
      <w:r>
        <w:rPr>
          <w:lang w:eastAsia="ko-KR"/>
          <w:rFonts w:ascii="맑은 고딕" w:eastAsia="맑은 고딕" w:hAnsi="맑은 고딕" w:cs="맑은 고딕"/>
          <w:b w:val="0"/>
          <w:bCs w:val="0"/>
          <w:sz w:val="20"/>
          <w:szCs w:val="20"/>
          <w:rtl w:val="off"/>
        </w:rPr>
        <w:t>(반도체)</w:t>
      </w:r>
      <w:r>
        <w:rPr>
          <w:rFonts w:ascii="맑은 고딕" w:eastAsia="맑은 고딕" w:hAnsi="맑은 고딕" w:cs="맑은 고딕"/>
          <w:b w:val="0"/>
          <w:bCs w:val="0"/>
          <w:sz w:val="20"/>
          <w:szCs w:val="20"/>
        </w:rPr>
        <w:t xml:space="preserve"> 10%)에서 </w:t>
      </w:r>
      <w:r>
        <w:rPr>
          <w:lang w:eastAsia="ko-KR"/>
          <w:rFonts w:ascii="맑은 고딕" w:eastAsia="맑은 고딕" w:hAnsi="맑은 고딕" w:cs="맑은 고딕"/>
          <w:b w:val="0"/>
          <w:bCs w:val="0"/>
          <w:sz w:val="20"/>
          <w:szCs w:val="20"/>
          <w:rtl w:val="off"/>
        </w:rPr>
        <w:t>42</w:t>
      </w:r>
      <w:r>
        <w:rPr>
          <w:rFonts w:ascii="맑은 고딕" w:eastAsia="맑은 고딕" w:hAnsi="맑은 고딕" w:cs="맑은 고딕"/>
          <w:b w:val="0"/>
          <w:bCs w:val="0"/>
          <w:sz w:val="20"/>
          <w:szCs w:val="20"/>
        </w:rPr>
        <w:t>% 수준</w:t>
      </w:r>
      <w:r>
        <w:rPr>
          <w:lang w:eastAsia="ko-KR"/>
          <w:rFonts w:ascii="맑은 고딕" w:eastAsia="맑은 고딕" w:hAnsi="맑은 고딕" w:cs="맑은 고딕"/>
          <w:b w:val="0"/>
          <w:bCs w:val="0"/>
          <w:sz w:val="20"/>
          <w:szCs w:val="20"/>
          <w:rtl w:val="off"/>
        </w:rPr>
        <w:t>(코스피</w:t>
      </w:r>
      <w:r>
        <w:rPr>
          <w:rFonts w:ascii="맑은 고딕" w:eastAsia="맑은 고딕" w:hAnsi="맑은 고딕" w:cs="맑은 고딕"/>
          <w:b w:val="0"/>
          <w:bCs w:val="0"/>
          <w:sz w:val="20"/>
          <w:szCs w:val="20"/>
        </w:rPr>
        <w:t xml:space="preserve"> </w:t>
      </w:r>
      <w:r>
        <w:rPr>
          <w:lang w:eastAsia="ko-KR"/>
          <w:rFonts w:ascii="맑은 고딕" w:eastAsia="맑은 고딕" w:hAnsi="맑은 고딕" w:cs="맑은 고딕"/>
          <w:b w:val="0"/>
          <w:bCs w:val="0"/>
          <w:sz w:val="20"/>
          <w:szCs w:val="20"/>
          <w:rtl w:val="off"/>
        </w:rPr>
        <w:t>17</w:t>
      </w:r>
      <w:r>
        <w:rPr>
          <w:rFonts w:ascii="맑은 고딕" w:eastAsia="맑은 고딕" w:hAnsi="맑은 고딕" w:cs="맑은 고딕"/>
          <w:b w:val="0"/>
          <w:bCs w:val="0"/>
          <w:sz w:val="20"/>
          <w:szCs w:val="20"/>
        </w:rPr>
        <w:t>% + 코스닥 1</w:t>
      </w:r>
      <w:r>
        <w:rPr>
          <w:lang w:eastAsia="ko-KR"/>
          <w:rFonts w:ascii="맑은 고딕" w:eastAsia="맑은 고딕" w:hAnsi="맑은 고딕" w:cs="맑은 고딕"/>
          <w:b w:val="0"/>
          <w:bCs w:val="0"/>
          <w:sz w:val="20"/>
          <w:szCs w:val="20"/>
          <w:rtl w:val="off"/>
        </w:rPr>
        <w:t>5</w:t>
      </w:r>
      <w:r>
        <w:rPr>
          <w:rFonts w:ascii="맑은 고딕" w:eastAsia="맑은 고딕" w:hAnsi="맑은 고딕" w:cs="맑은 고딕"/>
          <w:b w:val="0"/>
          <w:bCs w:val="0"/>
          <w:sz w:val="20"/>
          <w:szCs w:val="20"/>
        </w:rPr>
        <w:t>% + 한국섹터 10%</w:t>
      </w:r>
      <w:r>
        <w:rPr>
          <w:lang w:eastAsia="ko-KR"/>
          <w:rFonts w:ascii="맑은 고딕" w:eastAsia="맑은 고딕" w:hAnsi="맑은 고딕" w:cs="맑은 고딕"/>
          <w:b w:val="0"/>
          <w:bCs w:val="0"/>
          <w:sz w:val="20"/>
          <w:szCs w:val="20"/>
          <w:rtl w:val="off"/>
        </w:rPr>
        <w:t>)</w:t>
      </w:r>
      <w:r>
        <w:rPr>
          <w:rFonts w:ascii="맑은 고딕" w:eastAsia="맑은 고딕" w:hAnsi="맑은 고딕" w:cs="맑은 고딕"/>
          <w:b w:val="0"/>
          <w:bCs w:val="0"/>
          <w:sz w:val="20"/>
          <w:szCs w:val="20"/>
        </w:rPr>
        <w:t xml:space="preserve">으로 확대한다. 근거는 세 가지다. </w:t>
      </w:r>
    </w:p>
    <w:p>
      <w:pPr>
        <w:jc w:val="both"/>
        <w:spacing w:after="60" w:before="6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 xml:space="preserve">마이크론 3Q EPS 25.11달러로 컨센서스(19.15달러) 대비 31% 상회, 4Q 매출 가이던스 500억달러(컨센서스 421억달러 대비 18% 초과)를 기록하며 HBM 슈퍼사이클이 재확인되었다(출처: Micron Technology IR, https://investors.micron.com). </w:t>
      </w:r>
    </w:p>
    <w:p>
      <w:pPr>
        <w:jc w:val="both"/>
        <w:spacing w:after="60" w:before="60"/>
        <w:rPr>
          <w:lang w:eastAsia="ko-KR"/>
          <w:rFonts w:ascii="맑은 고딕" w:eastAsia="맑은 고딕" w:hAnsi="맑은 고딕" w:cs="맑은 고딕" w:hint="eastAsia"/>
          <w:b w:val="0"/>
          <w:bCs w:val="0"/>
          <w:sz w:val="20"/>
          <w:szCs w:val="20"/>
          <w:rtl w:val="off"/>
        </w:rPr>
      </w:pPr>
      <w:r>
        <w:rPr>
          <w:rFonts w:ascii="맑은 고딕" w:eastAsia="맑은 고딕" w:hAnsi="맑은 고딕" w:cs="맑은 고딕"/>
          <w:b w:val="0"/>
          <w:bCs w:val="0"/>
          <w:sz w:val="20"/>
          <w:szCs w:val="20"/>
        </w:rPr>
        <w:t>7월 1~3일 코스닥 30주년 행사에서 연기금 코스닥 유입 확대 및 국민성장펀드 30조원 투자 방향이 공식 확정될 예정</w:t>
      </w:r>
      <w:r>
        <w:rPr>
          <w:lang w:eastAsia="ko-KR"/>
          <w:rFonts w:ascii="맑은 고딕" w:eastAsia="맑은 고딕" w:hAnsi="맑은 고딕" w:cs="맑은 고딕"/>
          <w:b w:val="0"/>
          <w:bCs w:val="0"/>
          <w:sz w:val="20"/>
          <w:szCs w:val="20"/>
          <w:rtl w:val="off"/>
        </w:rPr>
        <w:t>으로</w:t>
      </w:r>
      <w:r>
        <w:rPr>
          <w:rFonts w:ascii="맑은 고딕" w:eastAsia="맑은 고딕" w:hAnsi="맑은 고딕" w:cs="맑은 고딕"/>
          <w:b w:val="0"/>
          <w:bCs w:val="0"/>
          <w:sz w:val="20"/>
          <w:szCs w:val="20"/>
        </w:rPr>
        <w:t xml:space="preserve">(출처: 금융위원회, </w:t>
      </w:r>
      <w:r>
        <w:rPr>
          <w:rFonts w:ascii="맑은 고딕" w:eastAsia="맑은 고딕" w:hAnsi="맑은 고딕" w:cs="맑은 고딕"/>
          <w:b w:val="0"/>
          <w:bCs w:val="0"/>
          <w:sz w:val="20"/>
          <w:szCs w:val="20"/>
        </w:rPr>
        <w:fldChar w:fldCharType="begin"/>
      </w:r>
      <w:r>
        <w:rPr>
          <w:rFonts w:ascii="맑은 고딕" w:eastAsia="맑은 고딕" w:hAnsi="맑은 고딕" w:cs="맑은 고딕"/>
          <w:b w:val="0"/>
          <w:bCs w:val="0"/>
          <w:sz w:val="20"/>
          <w:szCs w:val="20"/>
        </w:rPr>
        <w:instrText xml:space="preserve"> HYPERLINK "https://www.fsc.go.kr)" </w:instrText>
      </w:r>
      <w:r>
        <w:rPr>
          <w:rFonts w:ascii="맑은 고딕" w:eastAsia="맑은 고딕" w:hAnsi="맑은 고딕" w:cs="맑은 고딕"/>
          <w:b w:val="0"/>
          <w:bCs w:val="0"/>
          <w:sz w:val="20"/>
          <w:szCs w:val="20"/>
        </w:rPr>
        <w:fldChar w:fldCharType="separate"/>
      </w:r>
      <w:r>
        <w:rPr>
          <w:rStyle w:val="afffa"/>
          <w:rFonts w:ascii="맑은 고딕" w:eastAsia="맑은 고딕" w:hAnsi="맑은 고딕" w:cs="맑은 고딕"/>
          <w:b w:val="0"/>
          <w:bCs w:val="0"/>
          <w:sz w:val="20"/>
          <w:szCs w:val="20"/>
        </w:rPr>
        <w:t>https://www.fsc.go.kr)</w:t>
      </w:r>
      <w:r>
        <w:rPr>
          <w:rFonts w:ascii="맑은 고딕" w:eastAsia="맑은 고딕" w:hAnsi="맑은 고딕" w:cs="맑은 고딕"/>
          <w:b w:val="0"/>
          <w:bCs w:val="0"/>
          <w:sz w:val="20"/>
          <w:szCs w:val="20"/>
        </w:rPr>
        <w:fldChar w:fldCharType="end"/>
      </w:r>
      <w:r>
        <w:rPr>
          <w:lang w:eastAsia="ko-KR"/>
          <w:rFonts w:ascii="맑은 고딕" w:eastAsia="맑은 고딕" w:hAnsi="맑은 고딕" w:cs="맑은 고딕"/>
          <w:b w:val="0"/>
          <w:bCs w:val="0"/>
          <w:sz w:val="20"/>
          <w:szCs w:val="20"/>
          <w:rtl w:val="off"/>
        </w:rPr>
        <w:t xml:space="preserve"> 수급전환을 기대해볼 수 있다</w:t>
      </w:r>
      <w:r>
        <w:rPr>
          <w:rFonts w:ascii="맑은 고딕" w:eastAsia="맑은 고딕" w:hAnsi="맑은 고딕" w:cs="맑은 고딕"/>
          <w:b w:val="0"/>
          <w:bCs w:val="0"/>
          <w:sz w:val="20"/>
          <w:szCs w:val="20"/>
        </w:rPr>
        <w:t>.</w:t>
      </w:r>
      <w:r>
        <w:rPr>
          <w:lang w:eastAsia="ko-KR"/>
          <w:rFonts w:ascii="맑은 고딕" w:eastAsia="맑은 고딕" w:hAnsi="맑은 고딕" w:cs="맑은 고딕"/>
          <w:b w:val="0"/>
          <w:bCs w:val="0"/>
          <w:sz w:val="20"/>
          <w:szCs w:val="20"/>
          <w:rtl w:val="off"/>
        </w:rPr>
        <w:t xml:space="preserve"> 다만, 이 경우에도 수급전환이 발생하지 않는다면 코스닥은 적정한 기술적 분석을 통해 손절하도록 한다. </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7월 7일 삼성전자 2Q 잠정실적 발표 예정으로 HBM 마진 개선 가시화 시 추가 모멘텀이 기대된다. 단 국민연금 리밸런싱 매도(최대 74조원, 출처: 한국경제, https://www.hankyung.com)가 7월 중 분산 집행될 예정으로 단기 변동성 확대 요인으로 작용할 수 있어, 이를 하이킨아시 기준 저점 매수 기회로 활용한다.</w:t>
      </w:r>
    </w:p>
    <w:p>
      <w:pPr>
        <w:spacing w:after="40" w:before="40"/>
        <w:rPr>
          <w:lang w:eastAsia="ko-KR"/>
          <w:rFonts w:ascii="맑은 고딕" w:eastAsia="맑은 고딕" w:hAnsi="맑은 고딕" w:hint="eastAsia"/>
          <w:rtl w:val="off"/>
        </w:rPr>
      </w:pPr>
    </w:p>
    <w:p>
      <w:pPr>
        <w:spacing w:after="40" w:before="40"/>
        <w:rPr>
          <w:rFonts w:ascii="맑은 고딕" w:eastAsia="맑은 고딕" w:hAnsi="맑은 고딕" w:hint="default"/>
        </w:rPr>
      </w:pP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 미국주식 — 반도체·AI 비중 유지 ]</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7월 미국주식(나스닥·필라델피아·AI전력설비 ETF) 비중을 현 수준으로 유지한다. SpaceX의 나스닥100 패시브 편입(7월 7일 예정)으로 전 세계 패시브 자금의 강제 매수 집행이 예상되므로 편입 전날(7/6)까지 TIGER·KODEX 미국나스닥100을 선점하고 당일 수익 실현을 실행한다. 미국의 경우 한국과 달리 레버리지 단일종목 수급 왜곡이 덜하므로, 업종 내 순환매가 발생하는 특성상 AI 전력설비 섹터를 반도체와 병행하여 보유한다. 타점이 명확할 경우 미국 배당다우존스 등을 단기 편입할 의향이 있다.</w:t>
      </w:r>
    </w:p>
    <w:p>
      <w:pPr>
        <w:spacing w:after="40" w:before="40"/>
        <w:rPr>
          <w:lang w:eastAsia="ko-KR"/>
          <w:rFonts w:ascii="맑은 고딕" w:eastAsia="맑은 고딕" w:hAnsi="맑은 고딕" w:hint="eastAsia"/>
          <w:rtl w:val="off"/>
        </w:rPr>
      </w:pPr>
    </w:p>
    <w:p>
      <w:pPr>
        <w:spacing w:after="40" w:before="40"/>
        <w:rPr>
          <w:rFonts w:ascii="맑은 고딕" w:eastAsia="맑은 고딕" w:hAnsi="맑은 고딕" w:hint="default"/>
        </w:rPr>
      </w:pP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 달러·외환 — 10~15% 비중 유지 ]</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달러SOFR 비중을 10~15% 수준에서 유지한다. Model C 합산 +2점으로 달러 강세 기조가 지속되고 있으며, 한국 금통위 금리 인상(7/16 유력, 출처: 한국은행, https://www.bok.or.kr)이 확정되기 전까지 달러 강세 압력이 이어진다고 판단한다. 정부의 구두개입 또는 실개입으로 원달러 환율이 단기 급락할 경우 달러SOFR을 일부 매도하여 현금 또는 성장주로 전환한다. 금통위 인상 확정 직전날(7/15) 달러SOFR을 일부 매도하고 성장주로 이동하는 이벤트 드리븐 전략을 실행한다.</w:t>
      </w:r>
    </w:p>
    <w:p>
      <w:pPr>
        <w:spacing w:after="40" w:before="40"/>
        <w:rPr>
          <w:rFonts w:ascii="맑은 고딕" w:eastAsia="맑은 고딕" w:hAnsi="맑은 고딕" w:hint="default"/>
        </w:rPr>
      </w:pPr>
    </w:p>
    <w:p>
      <w:pPr>
        <w:jc w:val="both"/>
        <w:spacing w:after="60" w:before="60"/>
        <w:rPr>
          <w:rFonts w:ascii="맑은 고딕" w:eastAsia="맑은 고딕" w:hAnsi="맑은 고딕" w:hint="default"/>
        </w:rPr>
      </w:pPr>
      <w:r>
        <w:rPr>
          <w:rFonts w:ascii="맑은 고딕" w:eastAsia="맑은 고딕" w:hAnsi="맑은 고딕" w:cs="맑은 고딕"/>
          <w:b/>
          <w:bCs/>
          <w:sz w:val="20"/>
          <w:szCs w:val="20"/>
        </w:rPr>
        <w:t>[ 안전자산 (채권·CD금리) ]</w:t>
      </w:r>
    </w:p>
    <w:p>
      <w:pPr>
        <w:jc w:val="both"/>
        <w:spacing w:after="60" w:before="60"/>
        <w:rPr>
          <w:rFonts w:ascii="맑은 고딕" w:eastAsia="맑은 고딕" w:hAnsi="맑은 고딕" w:hint="default"/>
        </w:rPr>
      </w:pPr>
      <w:r>
        <w:rPr>
          <w:rFonts w:ascii="맑은 고딕" w:eastAsia="맑은 고딕" w:hAnsi="맑은 고딕" w:cs="맑은 고딕"/>
          <w:b w:val="0"/>
          <w:bCs w:val="0"/>
          <w:sz w:val="20"/>
          <w:szCs w:val="20"/>
        </w:rPr>
        <w:t>CD금리액티브는 5천만원 수준의 최소 비중만 유지한다. 투자계획서 1-11항에서 'CD금리는 3주 이상 시장을 떠나야 할 때만 파킹 수단으로 활용'하는 원칙을 제시하였으며, 이 원칙에 따라 수익률 격차 축소를 위해 CD금리 자금을 위험자산으로 전환한다. 미국 하이일드채권 및 투자등급회사채는 금 매도 후 안전자산 수익 보존 수단으로 소량 편입하며, 현재 경기 확장 국면에서 하이일드 스프레드가 낮아 가격에 긍정적이나 수익률 순위 개선 목적의 보조 수단으로만 활용한다.</w:t>
      </w:r>
    </w:p>
    <w:p>
      <w:pPr>
        <w:spacing w:after="40" w:before="40"/>
        <w:rPr>
          <w:rFonts w:ascii="맑은 고딕" w:eastAsia="맑은 고딕" w:hAnsi="맑은 고딕" w:hint="default"/>
        </w:rPr>
      </w:pPr>
    </w:p>
    <w:p>
      <w:pPr>
        <w:spacing w:after="60" w:before="140"/>
        <w:rPr>
          <w:rFonts w:ascii="맑은 고딕" w:eastAsia="맑은 고딕" w:hAnsi="맑은 고딕" w:hint="default"/>
        </w:rPr>
      </w:pPr>
      <w:r>
        <w:rPr>
          <w:rFonts w:ascii="맑은 고딕" w:eastAsia="맑은 고딕" w:hAnsi="맑은 고딕" w:cs="맑은 고딕"/>
          <w:b/>
          <w:bCs/>
          <w:color w:val="2E4F8C"/>
          <w:sz w:val="20"/>
          <w:szCs w:val="20"/>
        </w:rPr>
        <w:t>■ 7월 핵심 이벤트 캘린더 및 대응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2600"/>
        <w:gridCol w:w="5326"/>
      </w:tblGrid>
      <w:tr>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날짜</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이벤트</w:t>
            </w:r>
          </w:p>
        </w:tc>
        <w:tc>
          <w:tcPr>
            <w:tcW w:w="5326"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전망 및 대응</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반도체 수출입 지표 발표</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전년비 20%↑ 확인 시 SOL AI반도체소부장 추가 매수</w:t>
            </w:r>
            <w:r>
              <w:rPr>
                <w:lang w:eastAsia="ko-KR"/>
                <w:rFonts w:ascii="맑은 고딕" w:eastAsia="맑은 고딕" w:hAnsi="맑은 고딕" w:cs="맑은 고딕"/>
                <w:sz w:val="20"/>
                <w:szCs w:val="20"/>
                <w:rtl w:val="off"/>
              </w:rPr>
              <w:t xml:space="preserve"> 등</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7/1~7/3</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코스닥 30주년 기념행사</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연기금 유입 방향 확정 시 KODEX 코스닥150 비중 확대</w:t>
            </w:r>
            <w:r>
              <w:rPr>
                <w:lang w:eastAsia="ko-KR"/>
                <w:rFonts w:ascii="맑은 고딕" w:eastAsia="맑은 고딕" w:hAnsi="맑은 고딕" w:cs="맑은 고딕"/>
                <w:sz w:val="20"/>
                <w:szCs w:val="20"/>
                <w:rtl w:val="off"/>
              </w:rPr>
              <w:t xml:space="preserve"> </w:t>
            </w:r>
            <w:r>
              <w:rPr>
                <w:lang w:eastAsia="ko-KR"/>
                <w:rFonts w:ascii="맑은 고딕" w:eastAsia="맑은 고딕" w:hAnsi="맑은 고딕" w:cs="맑은 고딕"/>
                <w:sz w:val="20"/>
                <w:szCs w:val="20"/>
                <w:rtl w:val="off"/>
              </w:rPr>
              <w:t>단, 현재 손실중인바 확실한 기술적 매수시점에 진입</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rPr>
                <w:lang w:eastAsia="ko-KR"/>
                <w:rFonts w:ascii="맑은 고딕" w:eastAsia="맑은 고딕" w:hAnsi="맑은 고딕" w:cs="맑은 고딕"/>
                <w:sz w:val="20"/>
                <w:szCs w:val="20"/>
                <w:rtl w:val="off"/>
              </w:rPr>
              <w:t xml:space="preserve"> </w:t>
            </w:r>
            <w:r>
              <w:t>7/2</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미국 NFP 비농업 고용지표</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강하면 달러SOFR 유지, 약하면 성장주 추가 검토</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7/7</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삼성전자 2Q 잠정실적 + SpaceX 나스닥100 편입</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전날(7/6) TIGER·KODEX 나스닥 이중 선점 후 당일 급등 시 30% 수익 실현</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7/10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SK하이닉스 미국 ADR 상장</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글로벌 수급 유입 기대, KODEX AI반도체TOP2 추가 검토</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7/14</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미국 CPI 발표</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 xml:space="preserve">Model A 기반 예상치 상회 가능성 높음. CPI 하회 시 나스닥 비중 확대 </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7/16</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한국 금통위 금리 결정 (인상 유력)</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전날(7/15) 달러SOFR 일부 매도 → 성장주 전환</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7월 중</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CXMT 과창판 상장 (295억위안 IPO)</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범용 D램 경쟁 우려로 한국 반도체 단기 조정 시 하이킨아시 저점 확인 후 매수 기회 활용</w:t>
            </w:r>
          </w:p>
        </w:tc>
      </w:tr>
      <w:tr>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7/30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미국 FOMC 금리 결정</w:t>
            </w:r>
          </w:p>
        </w:tc>
        <w:tc>
          <w:tcPr>
            <w:tcW w:w="5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동결→성장주 추가 확대, 인상→달러SOFR 재편입</w:t>
            </w:r>
          </w:p>
        </w:tc>
      </w:tr>
    </w:tbl>
    <w:p>
      <w:pPr>
        <w:spacing w:after="40" w:before="40"/>
        <w:rPr>
          <w:lang w:eastAsia="ko-KR"/>
          <w:rFonts w:ascii="맑은 고딕" w:eastAsia="맑은 고딕" w:hAnsi="맑은 고딕" w:hint="eastAsia"/>
          <w:rtl w:val="off"/>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7월 이벤트별 상세 전략</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7월 7일(월) — 삼성전자 2Q 잠정실적 + SpaceX 나스닥100 편입</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이 날이 7월 최대 이벤트가 집중되는 날이다. SpaceX의 나스닥100 패시브 편입 시 전 세계 나스닥100 추종 패시브 자금이 기계적으로 SpaceX 매수를 집행하는 수급 효과가 편입 확정 시점에 집중된다. 삼성전자 잠정실적은 HBM 관련 마진 수치가 핵심이며, 어닝서프라이즈 발생 시 KODEX AI반도체TOP2 추가 매수를 실행한다.</w:t>
      </w:r>
      <w:r>
        <w:rPr>
          <w:lang w:eastAsia="ko-KR"/>
          <w:rFonts w:ascii="맑은 고딕" w:eastAsia="맑은 고딕" w:hAnsi="맑은 고딕" w:cs="맑은 고딕"/>
          <w:b w:val="0"/>
          <w:bCs w:val="0"/>
          <w:sz w:val="20"/>
          <w:szCs w:val="20"/>
          <w:rtl w:val="off"/>
        </w:rPr>
        <w:t xml:space="preserve"> 나스닥은 수급상황을 지속적으로 관찰한다. </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7월 중 — CXMT 과창판 상장 리스크와 기회</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중국 최대 D램 업체 CXMT가 7월 중 상하이 STAR마켓에 295억위안(6.5조원) IPO를 실행한다. 위협 측면으로는 범용 D램 시장에서의 경쟁 심화 우려와 글로벌 자금의 중국 반도체 이동이 있다. 기회 측면으로는 HBM·DDR5 등 고성능 메모리에서의 2~3년 기술 격차가 여전히 유효하며, CXMT 상장 이벤트가 역설적으로 삼성전자·SK하이닉스의 기술 경쟁력을 재조명하는 계기가 될 수 있다. 팀은 CXMT 상장 전후 한국 반도체 ETF의 단기 조정 구간을 하이킨아시 기준 저점 매수 기회로 활용한다.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7월 16일(목) — 한국 금통위 금리 결정</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신현송 한국은행 총재 취임 직후 매파적 발언으로 인상 기대가 강화됐다. 한국 기준금리 인상은 단기적으로 성장주에 부정적이나, Model C에서 제시한 달러SOFR 전략의 출구 타이밍이기도 하다. 금통위 전날(7/15)까지 달러SOFR을 매도하고, 금통위 인상 확정 후 은행주(TIGER 은행고배당플러스) 소량 편입 및 성장주 추가 매수를 실행한다.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7월 30일(목) — 미국 FOMC</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7월 30일 FOMC가 예정되어 있다. 시나리오 A(동결 + 비둘기 발언): 나스닥·성장주 추가 확대, 달러SOFR 잔여분 매도, 30년 국채 ETF 소량 편입 개시. 시나리오 B(인상 25bp): 성장주 일시 조정 → 하이킨아시 추세 전환 없으면 물타기, 달러SOFR 재편입.</w:t>
      </w:r>
    </w:p>
    <w:p>
      <w:pPr>
        <w:spacing w:after="40" w:before="40"/>
        <w:rPr>
          <w:rFonts w:ascii="맑은 고딕" w:eastAsia="맑은 고딕" w:hAnsi="맑은 고딕" w:hint="default"/>
        </w:rPr>
      </w:pPr>
    </w:p>
    <w:p>
      <w:pPr>
        <w:spacing w:after="60" w:before="140"/>
        <w:rPr>
          <w:rFonts w:ascii="맑은 고딕" w:eastAsia="맑은 고딕" w:hAnsi="맑은 고딕" w:hint="default"/>
        </w:rPr>
      </w:pPr>
      <w:r>
        <w:rPr>
          <w:rFonts w:ascii="맑은 고딕" w:eastAsia="맑은 고딕" w:hAnsi="맑은 고딕" w:cs="맑은 고딕"/>
          <w:b/>
          <w:bCs/>
          <w:color w:val="2E4F8C"/>
          <w:sz w:val="20"/>
          <w:szCs w:val="20"/>
        </w:rPr>
        <w:t>■ 7월 자산별 목표 비중 요약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1400"/>
        <w:gridCol w:w="1400"/>
        <w:gridCol w:w="3826"/>
      </w:tblGrid>
      <w:t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자산군</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현재(6월 말)</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7월 목표</w:t>
            </w:r>
          </w:p>
        </w:tc>
        <w:tc>
          <w:tcPr>
            <w:tcW w:w="3826" w:type="dxa"/>
            <w:tcBorders>
              <w:top w:val="single" w:sz="1" w:space="0" w:color="1F3864"/>
              <w:left w:val="single" w:sz="1" w:space="0" w:color="1F3864"/>
              <w:bottom w:val="single" w:sz="1" w:space="0" w:color="1F3864"/>
              <w:right w:val="single" w:sz="1" w:space="0" w:color="1F3864"/>
            </w:tcBorders>
            <w:shd w:val="clear" w:color="auto" w:fill="1F3864"/>
            <w:tcMar>
              <w:top w:w="60" w:type="dxa"/>
              <w:left w:w="100" w:type="dxa"/>
              <w:bottom w:w="60" w:type="dxa"/>
              <w:right w:w="10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방향 및 근거</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rPr>
                <w:lang w:eastAsia="ko-KR"/>
                <w:rFonts w:ascii="맑은 고딕" w:eastAsia="맑은 고딕" w:hAnsi="맑은 고딕" w:cs="맑은 고딕"/>
                <w:sz w:val="20"/>
                <w:szCs w:val="20"/>
                <w:rtl w:val="off"/>
              </w:rPr>
              <w:t>코스피</w:t>
            </w:r>
            <w:r>
              <w:t xml:space="preserve"> 지수 (KODEX200·TIGER200)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12~15%</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국민연금 리밸런싱 조정 시 물타기 활용</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코스닥150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10~12%</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코스닥 30주년 정책 + 반도체소부장 수혜</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한국 섹터 (IT·반도체·소부장)</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10~13%</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삼성전자 2Q 실적 확인 후 방향 결정</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미국 지수 (나스닥·필라델피아)</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rPr>
                <w:lang w:eastAsia="ko-KR"/>
                <w:rFonts w:ascii="맑은 고딕" w:eastAsia="맑은 고딕" w:hAnsi="맑은 고딕" w:hint="default"/>
                <w:rtl w:val="off"/>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15~18%</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SpaceX Fast Entry 수급 선점</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미국 섹터 (AI전력설비·AI반도체)</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rPr>
                <w:lang w:eastAsia="ko-KR"/>
                <w:rFonts w:ascii="맑은 고딕" w:eastAsia="맑은 고딕" w:hAnsi="맑은 고딕" w:hint="default"/>
                <w:rtl w:val="off"/>
              </w:rPr>
              <w:t>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7~10%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AI 인프라 독립 드라이버 유효</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달러SOFR</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10~15%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10~15%</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금통위 인상 전까지 유지</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채권 (하이일드·투자등급)</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소량</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5% 이하</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순위 개선 목적 보조 자산</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CD금리·예수금</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감소 후 유지</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5% 이하</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물타기 실탄 용도만 유지</w:t>
            </w:r>
          </w:p>
        </w:tc>
      </w:tr>
      <w:t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현금성 대기 자금</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~25%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15~20%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pPr>
              <w:jc w:val="left"/>
              <w:rPr>
                <w:rFonts w:ascii="맑은 고딕" w:eastAsia="맑은 고딕" w:hAnsi="맑은 고딕" w:hint="default"/>
              </w:rPr>
            </w:pPr>
            <w:r>
              <w:t>이벤트 드리븐 매매 실탄 확보</w:t>
            </w:r>
          </w:p>
        </w:tc>
      </w:tr>
    </w:tbl>
    <w:p>
      <w:pPr>
        <w:pStyle w:val="a1"/>
        <w:rPr>
          <w:lang w:eastAsia="ko-KR"/>
          <w:rFonts w:ascii="맑은 고딕" w:eastAsia="맑은 고딕" w:hAnsi="맑은 고딕" w:cs="맑은 고딕" w:hint="eastAsia"/>
          <w:b/>
          <w:bCs/>
          <w:sz w:val="20"/>
          <w:szCs w:val="20"/>
          <w:rtl w:val="off"/>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7월 포트폴리오 운용 핵심 원칙</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투자계획서에서 제시한 '손실의 좌측 꼬리 차단, 수익의 우측 꼬리 열기' 비대칭 수익 구조를 하이킨아시 기법으로 실현한다.</w:t>
      </w:r>
    </w:p>
    <w:p>
      <w:pPr>
        <w:spacing w:after="40" w:before="40"/>
        <w:rPr>
          <w:rFonts w:ascii="맑은 고딕" w:eastAsia="맑은 고딕" w:hAnsi="맑은 고딕" w:hint="default"/>
        </w:rPr>
      </w:pPr>
    </w:p>
    <w:p>
      <w:pPr>
        <w:pStyle w:val="af1"/>
        <w:numPr>
          <w:ilvl w:val="0"/>
          <w:numId w:val="1"/>
        </w:numPr>
        <w:rPr>
          <w:rFonts w:ascii="맑은 고딕" w:eastAsia="맑은 고딕" w:hAnsi="맑은 고딕" w:hint="default"/>
        </w:rPr>
      </w:pPr>
      <w:r>
        <w:rPr>
          <w:rFonts w:ascii="맑은 고딕" w:eastAsia="맑은 고딕" w:hAnsi="맑은 고딕" w:hint="default"/>
        </w:rPr>
        <w:t>추세 확인 원칙: 하이킨아시 일봉 기준 아래 꼬리 없는 연속 양봉이 유지되는 한 볼린저밴드 상단에 도달하더라도 포지션을 유지한다.</w:t>
      </w:r>
    </w:p>
    <w:p>
      <w:pPr>
        <w:pStyle w:val="af1"/>
        <w:numPr>
          <w:ilvl w:val="0"/>
          <w:numId w:val="1"/>
        </w:numPr>
        <w:rPr>
          <w:rFonts w:ascii="맑은 고딕" w:eastAsia="맑은 고딕" w:hAnsi="맑은 고딕" w:hint="default"/>
        </w:rPr>
      </w:pPr>
      <w:r>
        <w:rPr>
          <w:rFonts w:ascii="맑은 고딕" w:eastAsia="맑은 고딕" w:hAnsi="맑은 고딕" w:hint="default"/>
        </w:rPr>
        <w:t>이벤트 드리븐 원칙: SpaceX 편입(7/7), SK하이닉스 ADR(7/10), CPI(7/14), 금통위(7/16), FOMC(7/30) 각 이벤트별 시나리오를 사전 수립하고 결과 확인 후 즉각 대응한다.</w:t>
      </w:r>
    </w:p>
    <w:p>
      <w:pPr>
        <w:pStyle w:val="af1"/>
        <w:numPr>
          <w:ilvl w:val="0"/>
          <w:numId w:val="1"/>
        </w:numPr>
        <w:rPr>
          <w:rFonts w:ascii="맑은 고딕" w:eastAsia="맑은 고딕" w:hAnsi="맑은 고딕" w:hint="default"/>
        </w:rPr>
      </w:pPr>
      <w:r>
        <w:rPr>
          <w:rFonts w:ascii="맑은 고딕" w:eastAsia="맑은 고딕" w:hAnsi="맑은 고딕" w:hint="default"/>
        </w:rPr>
        <w:t>물타기 원칙: 이중 편입 구조(TIGER+KODEX)를 활용하여 각 ETF의 독립적 물타기 실탄을 유지한다. 전체 위험자산 비중 70% 상한을 준수하며, 한 종목에 집중 물타기보다 분산 물타기를 실행한다.</w:t>
      </w:r>
    </w:p>
    <w:p>
      <w:pPr>
        <w:pStyle w:val="af1"/>
        <w:numPr>
          <w:ilvl w:val="0"/>
          <w:numId w:val="1"/>
        </w:numPr>
        <w:rPr>
          <w:rFonts w:ascii="맑은 고딕" w:eastAsia="맑은 고딕" w:hAnsi="맑은 고딕" w:hint="default"/>
        </w:rPr>
      </w:pPr>
      <w:r>
        <w:rPr>
          <w:rFonts w:ascii="맑은 고딕" w:eastAsia="맑은 고딕" w:hAnsi="맑은 고딕" w:hint="default"/>
        </w:rPr>
        <w:t>안전자산 병행 원칙: Model E 상관계수 경고(VIX-HY 0.395)가 지속되는 한 안전자산 최소 20% 유지를 고수한다. 하이일드채권·달러단기채권이 금 매도 후 안전자산 역할을 담당한다.</w:t>
      </w:r>
    </w:p>
    <w:p>
      <w:pPr>
        <w:spacing w:after="40" w:before="40"/>
        <w:rPr>
          <w:rFonts w:ascii="맑은 고딕" w:eastAsia="맑은 고딕" w:hAnsi="맑은 고딕" w:hint="default"/>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국민연금 리밸런싱 대응</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코스피가 9,000선을 넘어선 현 상황에서 국민연금은 7월부터 최대 74조원 규모의 매도를 단행할 것으로 추산된다. 다만 거래일을 기존 10일에서 20일로 늘려 일일 약 3,700억원 수준의 분산 집행이 예상되므로, 지수 방향성 훼손보다는 단기 변동성 확대 요인으로 판단한다. 리밸런싱 매도 구간에서 발생하는 코스피 조정을 KODEX 200·TIGER 200의 하이킨아시 기준 저점 매수 기회로 활용한다.</w:t>
      </w:r>
    </w:p>
    <w:p>
      <w:pPr>
        <w:pStyle w:val="a1"/>
        <w:rPr>
          <w:lang w:eastAsia="ko-KR"/>
          <w:rFonts w:ascii="맑은 고딕" w:eastAsia="맑은 고딕" w:hAnsi="맑은 고딕" w:cs="맑은 고딕" w:hint="eastAsia"/>
          <w:b/>
          <w:bCs/>
          <w:sz w:val="20"/>
          <w:szCs w:val="20"/>
          <w:rtl w:val="off"/>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xml:space="preserve">■ 7월 편입 종목별 </w:t>
      </w:r>
      <w:r>
        <w:rPr>
          <w:lang w:eastAsia="ko-KR"/>
          <w:rFonts w:ascii="맑은 고딕" w:eastAsia="맑은 고딕" w:hAnsi="맑은 고딕" w:cs="맑은 고딕"/>
          <w:b/>
          <w:bCs/>
          <w:sz w:val="20"/>
          <w:szCs w:val="20"/>
          <w:rtl w:val="off"/>
        </w:rPr>
        <w:t>구체적 보유 이유</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① KODEX 반도체 + KODEX AI반도체TOP2플러스 — 이중 편입 전략</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마이크론 3Q EPS 25.11달러(컨센서스 19.15달러 대비 31% 상회), 4Q 매출 가이던스 500억달러(컨센서스 421억달러 대비 18% 초과)로 AI HBM 슈퍼사이클의 지속성이 재확인됐다. 두 ETF를 동시에 보유하는 이유는 개별 ETF 20% 비중 상한 하에서 물타기 가능 총량을 2배로 확보하기 위함이다. KODEX 반도체는 삼성전자·SK하이닉스 포함 광의의 국내 반도체 밸류체인을, AI반도체TOP2플러스는 삼성전자 25%·SK하이닉스 25%의 핵심 HBM 양사 집중 구조를 담는다.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② TIGER 200 IT — 비주도 섹터 희석 없는 IT 순수 드라이버</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KODEX 200 전체 지수는 자동차·금융·소비재 등 비주도 섹터의 희석 효과가 발생한다. TIGER 200 IT는 삼성전자·SK하이닉스·삼성전기 등 IT 중심 종목만을 담아 반도체·AI 드라이버를 더 직접적으로 포착한다.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③ KODEX 200 + TIGER 200 — 이중 편입, 비중 분리</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두 ETF는 동일한 코스피200 지수를 추종하지만 대회 규정상 별도 종목으로 분류되어 각각의 20% 비중 상한 내에서 독립 운용이 가능하다. 이를 통해 코스피 추종 총 가용 비중을 2억원(1 ETF × 20%)에서 1억+1억(2 ETF × 20%)으로 두 배 확장한다. 코스피 9,000선에서 국민연금 리밸런싱 매도로 단기 조정이 발생할 경우 양 ETF에서 독립적으로 물타기 실탄을 행사할 수 있는 구조다.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④ 미</w:t>
      </w:r>
      <w:r>
        <w:rPr>
          <w:lang w:eastAsia="ko-KR"/>
          <w:rFonts w:ascii="맑은 고딕" w:eastAsia="맑은 고딕" w:hAnsi="맑은 고딕" w:cs="맑은 고딕"/>
          <w:b/>
          <w:bCs/>
          <w:sz w:val="20"/>
          <w:szCs w:val="20"/>
          <w:rtl w:val="off"/>
        </w:rPr>
        <w:t>국</w:t>
      </w:r>
      <w:r>
        <w:rPr>
          <w:rFonts w:ascii="맑은 고딕" w:eastAsia="맑은 고딕" w:hAnsi="맑은 고딕" w:cs="맑은 고딕"/>
          <w:b/>
          <w:bCs/>
          <w:sz w:val="20"/>
          <w:szCs w:val="20"/>
        </w:rPr>
        <w:t>달러SOFR — 달러 강세 환경의 파킹 자산</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Model C +2점으로 달러 강세 방향이 유지되는 한 달러SOFR은 이자 수익(SOFR 연동 약 4~5%)과 환차익을 동시에 제공하는 효율적 자산이다. SOFR은 미국 연준 기준금리에 직접 연동되어 금리 인상 구간에서 이자율이 자동으로 상승하는 구조를 가진다.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⑤ CD금리액티브 — 1억5천만원 감소, 위험자산 실탄 전환</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투자계획서 1-11항에서 'CD금리 ETF는 거시 붕괴 리스크 발생 시에만 파킹 수단으로 활용'하는 원칙을 제시했다. 현재 6월 수익률 -2.16%로 상위권과의 격차가 확대되는 상황에서 과도한 안전자산 보유는 격차 축소에 역행한다. 2억원 중 1억5천만원을 위험자산으로 전환하여 반도체·나스닥 ETF 추가 편입 및 물타기 실탄으로 활용한다.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⑥ TIGER 미국필라델피아반도체 + 미국AI필라델피아반도체 — 미국 반도체 이중 접근</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한국 수급 왜곡을 피해 미국 시장에서 동일 반도체 테마를 직접 포착한다. TIGER 필라델피아는 SOX 지수 추종으로 인텔·브로드컴·퀄컴 등 광의의 반도체 밸류체인을, 미국AI필라델피아반도체는 AI 특화 반도체로 필터링된 구성을 담는다.</w:t>
      </w:r>
    </w:p>
    <w:p>
      <w:pPr>
        <w:spacing w:after="40" w:before="40"/>
        <w:rPr>
          <w:rFonts w:ascii="맑은 고딕" w:eastAsia="맑은 고딕" w:hAnsi="맑은 고딕" w:hint="default"/>
        </w:rPr>
      </w:pPr>
    </w:p>
    <w:p>
      <w:pPr>
        <w:spacing w:after="100" w:before="200"/>
        <w:rPr>
          <w:rFonts w:ascii="맑은 고딕" w:eastAsia="맑은 고딕" w:hAnsi="맑은 고딕" w:hint="default"/>
        </w:rPr>
      </w:pPr>
      <w:r>
        <w:rPr>
          <w:rFonts w:ascii="맑은 고딕" w:eastAsia="맑은 고딕" w:hAnsi="맑은 고딕" w:cs="맑은 고딕"/>
          <w:b/>
          <w:bCs/>
          <w:sz w:val="20"/>
          <w:szCs w:val="20"/>
        </w:rPr>
        <w:t>⑦ TIGER 미국나스닥100 + KODEX 미국나스닥100 — SpaceX Fast Entry 이중 선점</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투자계획서 2-2-2항에서 SpaceX의 나스닥100 패시브 편입 시 전 세계 수천억달러 규모의 강제 매수가 집행된다는 분석을 제시했다. 7월 7일 편입이 확정될 경우 TIGER와 KODEX 두 ETF를 동시에 보유함으로써 개별 20% 비중 상한 안에서 나스닥 최대 노출을 확보한다.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⑧ SOL AI반도체소부장 — 코스닥 정부 정책 + CXMT 밸류체인 이중 수혜</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7월 1~3일 코스닥 30주년 행사에서 정부의 코스닥 개편 방향이 확정되며 하반기 연기금·국민성장펀드 30조원의 코스닥 유입이 본격화될 전망이다. 더불어 CXMT가 7월 과창판 상장 후 공격적 설비투자에 나설 경우 한국 반도체 장비·소재 업체에 대한 납품 수요가 이어질 수 있다.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⑨ KODEX 코스닥150 — 정부 정책 수혜 + 헬스케어 간접 노출</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코스닥 30주년 정부 개편 정책의 지수 전반 긍정 효과를 간접적으로 포착하는 수단이다. 헬스케어 간접 노출에 대해 냉정하게 평가한다. 글로벌 AI 의료 시장 규모는 2030년까지 1,900억달러로 연평균 37% 성장이 예상되며, K바이오 기술수출은 2026년 상반기 13조원을 돌파하여 역대 최대를 기록했다. 이재명 정부의 국민성장펀드가 첫 바이오 투자 대상으로 비티젠을 선택하며 정책 지원 의지를 확인했다. 다만 KODEX 코스닥150은 헬스케어 전용 ETF가 아니며, 코스닥 상위 시총이 반도체 소부장 중심으로 재편된 상황에서 반도체 소부장이 현재 실질적 드라이버다. 헬스케어는 향후 순환매 시점을 기다리는 잠재적 모멘텀으로 인식한다.</w:t>
      </w:r>
    </w:p>
    <w:p>
      <w:pPr>
        <w:spacing w:after="100" w:before="200"/>
        <w:rPr>
          <w:rFonts w:ascii="맑은 고딕" w:eastAsia="맑은 고딕" w:hAnsi="맑은 고딕" w:hint="default"/>
        </w:rPr>
      </w:pPr>
      <w:r>
        <w:rPr>
          <w:rFonts w:ascii="맑은 고딕" w:eastAsia="맑은 고딕" w:hAnsi="맑은 고딕" w:cs="맑은 고딕"/>
          <w:b/>
          <w:bCs/>
          <w:sz w:val="20"/>
          <w:szCs w:val="20"/>
        </w:rPr>
        <w:t>⑩ 미국 하이일드채권 + 미국 투자등급회사채 — 금 매도 후 안전자산 수익 대체</w:t>
      </w:r>
    </w:p>
    <w:p>
      <w:pPr>
        <w:jc w:val="both"/>
        <w:spacing w:after="80" w:before="80"/>
        <w:rPr>
          <w:rFonts w:ascii="맑은 고딕" w:eastAsia="맑은 고딕" w:hAnsi="맑은 고딕" w:hint="default"/>
        </w:rPr>
      </w:pPr>
      <w:r>
        <w:rPr>
          <w:rFonts w:ascii="맑은 고딕" w:eastAsia="맑은 고딕" w:hAnsi="맑은 고딕" w:cs="맑은 고딕"/>
          <w:b w:val="0"/>
          <w:bCs w:val="0"/>
          <w:sz w:val="20"/>
          <w:szCs w:val="20"/>
        </w:rPr>
        <w:t>현재 경기 확장 국면에서 하이일드채권의 스프레드는 수년 내 최저 수준을 유지하고 있다. 스프레드가 낮다는 것은 기업 부도 위험이 낮다고 시장이 평가한다는 의미로, 하이일드 채권 가격에 긍정적이다. 연 7~8%의 쿠폰 이자 수익이 안전자산으로 분류되면서 포트폴리오 안정성을 유지하는 동시에 수익을 창출한다. 투자등급회사채는 연 5~6% 이자에 가격 변동이 상대적으로 낮아 금 매도 후 보수적 수익 보존 수단으로 적합하다.</w:t>
      </w:r>
    </w:p>
    <w:p>
      <w:pPr>
        <w:spacing w:after="40" w:before="40"/>
        <w:rPr>
          <w:rFonts w:ascii="맑은 고딕" w:eastAsia="맑은 고딕" w:hAnsi="맑은 고딕" w:hint="default"/>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ETF — 조건부 편입 대기 목록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000"/>
        <w:gridCol w:w="3526"/>
      </w:tblGrid>
      <w:t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ETF</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조건</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편입 이유</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KODEX 은선물(H) A084690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GSR 70 돌파 또는 산업수요 급증</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AI 데이터센터 냉각소재 + 인플레 헷징</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TIGER 차이나과창판STAR50 A414780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CXMT 상장 후 2~3주 안정화 확인</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CXMT IPO로 과창판 반도체 수급 유입</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KODEX 미국30년국채액티브 A304670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7/14 CPI 하회 + 7/30 FOMC 비둘기 동시 확인</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금리 인하 기대 회복 시 듀레이션 수익</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KODEX WTI원유선물(H) A261220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이란 MOU 협상 최종 결렬 확인</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공급 차단 시 유가 급등 직접 수혜</w:t>
            </w:r>
          </w:p>
        </w:tc>
      </w:tr>
      <w:t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TIGER 미국배당다우존스 A458730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7/16 금통위 인상 확정 후</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달러SOFR 매도 자금 배당주 이동</w:t>
            </w:r>
          </w:p>
        </w:tc>
      </w:tr>
    </w:tbl>
    <w:p>
      <w:pPr>
        <w:pStyle w:val="Heading2"/>
        <w:rPr>
          <w:lang w:eastAsia="ko-KR"/>
          <w:rFonts w:ascii="맑은 고딕" w:eastAsia="맑은 고딕" w:hAnsi="맑은 고딕" w:cs="맑은 고딕" w:hint="eastAsia"/>
          <w:b/>
          <w:bCs/>
          <w:sz w:val="20"/>
          <w:szCs w:val="20"/>
          <w:rtl w:val="off"/>
        </w:rPr>
      </w:pPr>
    </w:p>
    <w:p>
      <w:pPr>
        <w:pStyle w:val="Heading2"/>
        <w:rPr>
          <w:rFonts w:ascii="맑은 고딕" w:eastAsia="맑은 고딕" w:hAnsi="맑은 고딕" w:hint="default"/>
          <w:sz w:val="20"/>
          <w:szCs w:val="20"/>
        </w:rPr>
      </w:pPr>
      <w:r>
        <w:rPr>
          <w:rFonts w:ascii="맑은 고딕" w:eastAsia="맑은 고딕" w:hAnsi="맑은 고딕" w:cs="맑은 고딕"/>
          <w:b/>
          <w:bCs/>
          <w:sz w:val="20"/>
          <w:szCs w:val="20"/>
        </w:rPr>
        <w:t>■ 기존 투자계획서 대비 변경 총정리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500"/>
        <w:gridCol w:w="2600"/>
        <w:gridCol w:w="2126"/>
      </w:tblGrid>
      <w:t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항목</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투자계획서 원칙</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7월 변경</w:t>
            </w:r>
          </w:p>
        </w:tc>
        <w:tc>
          <w:tcPr>
            <w:tcW w:w="21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pPr>
              <w:jc w:val="center"/>
              <w:rPr>
                <w:rFonts w:ascii="맑은 고딕" w:eastAsia="맑은 고딕" w:hAnsi="맑은 고딕" w:hint="default"/>
              </w:rPr>
            </w:pPr>
            <w:r>
              <w:rPr>
                <w:rFonts w:ascii="맑은 고딕" w:eastAsia="맑은 고딕" w:hAnsi="맑은 고딕" w:cs="맑은 고딕"/>
                <w:b/>
                <w:bCs/>
                <w:color w:val="FFFFFF"/>
                <w:sz w:val="20"/>
                <w:szCs w:val="20"/>
              </w:rPr>
              <w:t>변경 사유</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기술적 지표</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볼린저밴드 ±2σ</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하이킨아시 스윙 매매</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추세 장세에서 밴드워크 오류</w:t>
            </w:r>
            <w:r>
              <w:rPr>
                <w:lang w:eastAsia="ko-KR"/>
                <w:rFonts w:ascii="맑은 고딕" w:eastAsia="맑은 고딕" w:hAnsi="맑은 고딕" w:cs="맑은 고딕"/>
                <w:sz w:val="20"/>
                <w:szCs w:val="20"/>
                <w:rtl w:val="off"/>
              </w:rPr>
              <w:t xml:space="preserve"> 및 한국시장의 수급 불안정성 및 순환매 미발생</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금현물</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핵심 방어 자산(4중 수혜)</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전량 매도</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금리 인상+유동성 감소</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Track 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독립 드라이버</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비중 축소, 이벤트 드리븐</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한국 수급 왜곡으로 독립성 약화</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코스닥150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완전 제외</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KODEX 코스닥150 편입</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코스닥 30주년 정부 정책 수혜</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CD금리</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붕괴 리스크 파킹 수단</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1억5천 감소, 위험자산 전환</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rPr>
                <w:lang w:eastAsia="ko-KR"/>
                <w:rFonts w:ascii="맑은 고딕" w:eastAsia="맑은 고딕" w:hAnsi="맑은 고딕" w:cs="맑은 고딕"/>
                <w:sz w:val="20"/>
                <w:szCs w:val="20"/>
                <w:rtl w:val="off"/>
              </w:rPr>
              <w:t xml:space="preserve">순위 </w:t>
            </w:r>
            <w:r>
              <w:t>격차 축소 위한 공격적 조정</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이중 편입</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없음</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Tiger+Kodex 분리 운용</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물타기 상한 2배 확보</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채권 편입</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미편입</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하이일드+투자등급회사채</w:t>
            </w:r>
            <w:r>
              <w:rPr>
                <w:lang w:eastAsia="ko-KR"/>
                <w:rFonts w:ascii="맑은 고딕" w:eastAsia="맑은 고딕" w:hAnsi="맑은 고딕" w:cs="맑은 고딕"/>
                <w:sz w:val="20"/>
                <w:szCs w:val="20"/>
                <w:rtl w:val="off"/>
              </w:rPr>
              <w:t xml:space="preserve">, 초단기채 등 </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left"/>
              <w:rPr>
                <w:rFonts w:ascii="맑은 고딕" w:eastAsia="맑은 고딕" w:hAnsi="맑은 고딕" w:hint="default"/>
              </w:rPr>
            </w:pPr>
            <w:r>
              <w:t>금 매도 후 안전자산</w:t>
            </w:r>
            <w:r>
              <w:rPr>
                <w:lang w:eastAsia="ko-KR"/>
                <w:rFonts w:ascii="맑은 고딕" w:eastAsia="맑은 고딕" w:hAnsi="맑은 고딕" w:cs="맑은 고딕"/>
                <w:sz w:val="20"/>
                <w:szCs w:val="20"/>
                <w:rtl w:val="off"/>
              </w:rPr>
              <w:t xml:space="preserve"> 대체와 채권에서도 일정 수익률 확보를 위한 편입</w:t>
            </w:r>
          </w:p>
        </w:tc>
      </w:tr>
    </w:tbl>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lang w:eastAsia="ko-KR"/>
          <w:rFonts w:ascii="맑은 고딕" w:eastAsia="맑은 고딕" w:hAnsi="맑은 고딕" w:hint="eastAsia"/>
          <w:rtl w:val="off"/>
        </w:rPr>
      </w:pPr>
    </w:p>
    <w:p>
      <w:pPr>
        <w:spacing w:after="40" w:before="40"/>
        <w:rPr>
          <w:rFonts w:ascii="맑은 고딕" w:eastAsia="맑은 고딕" w:hAnsi="맑은 고딕" w:hint="default"/>
          <w:b/>
          <w:bCs/>
          <w:sz w:val="16"/>
          <w:szCs w:val="16"/>
        </w:rPr>
      </w:pPr>
      <w:r>
        <w:rPr>
          <w:rFonts w:ascii="맑은 고딕" w:eastAsia="맑은 고딕" w:hAnsi="맑은 고딕" w:cs="맑은 고딕"/>
          <w:b/>
          <w:bCs/>
          <w:i w:val="0"/>
          <w:iCs w:val="0"/>
          <w:color w:val="666666"/>
          <w:sz w:val="20"/>
          <w:szCs w:val="20"/>
        </w:rPr>
        <w:t>※</w:t>
      </w:r>
      <w:r>
        <w:rPr>
          <w:rFonts w:ascii="맑은 고딕" w:eastAsia="맑은 고딕" w:hAnsi="맑은 고딕" w:cs="맑은 고딕"/>
          <w:b/>
          <w:bCs/>
          <w:i w:val="0"/>
          <w:iCs w:val="0"/>
          <w:color w:val="666666"/>
          <w:sz w:val="16"/>
          <w:szCs w:val="16"/>
        </w:rPr>
        <w:t xml:space="preserve"> 외부 자료 출처 </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bCs/>
          <w:i w:val="0"/>
          <w:iCs w:val="0"/>
          <w:color w:val="666666"/>
          <w:sz w:val="16"/>
          <w:szCs w:val="16"/>
        </w:rPr>
        <w:t>-</w:t>
      </w:r>
      <w:r>
        <w:rPr>
          <w:rFonts w:ascii="맑은 고딕" w:eastAsia="맑은 고딕" w:hAnsi="맑은 고딕" w:cs="맑은 고딕"/>
          <w:b w:val="0"/>
          <w:bCs w:val="0"/>
          <w:i w:val="0"/>
          <w:iCs w:val="0"/>
          <w:color w:val="666666"/>
          <w:sz w:val="16"/>
          <w:szCs w:val="16"/>
        </w:rPr>
        <w:t xml:space="preserve"> Micron Technology 실적 발표: https://investors.micron.com</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Federal Reserve FOMC 점도표: https://www.federalreserve.gov</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U.S. Bureau of Labor Statistics(CPI/PPI): https://www.bls.gov</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FRED(실질금리·GSR): https://fred.stlouisfed.org</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한국은행 금통위: https://www.bok.or.kr</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금융위원회(코스닥 정책): https://www.fsc.go.kr</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관세청 수출입 통계: https://tradedata.go.kr</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CME FedWatch(기준금리 기대): https://www.cmegroup.com</w:t>
      </w:r>
    </w:p>
    <w:p>
      <w:pPr>
        <w:spacing w:after="40" w:before="40"/>
        <w:rPr>
          <w:rFonts w:ascii="맑은 고딕" w:eastAsia="맑은 고딕" w:hAnsi="맑은 고딕" w:hint="default"/>
          <w:b w:val="0"/>
          <w:bCs w:val="0"/>
          <w:sz w:val="16"/>
          <w:szCs w:val="16"/>
        </w:rPr>
      </w:pPr>
      <w:r>
        <w:rPr>
          <w:rFonts w:ascii="맑은 고딕" w:eastAsia="맑은 고딕" w:hAnsi="맑은 고딕" w:cs="맑은 고딕"/>
          <w:b w:val="0"/>
          <w:bCs w:val="0"/>
          <w:i w:val="0"/>
          <w:iCs w:val="0"/>
          <w:color w:val="666666"/>
          <w:sz w:val="16"/>
          <w:szCs w:val="16"/>
        </w:rPr>
        <w:t>- 국민연금 리밸런싱 규모: 한국경제 https://www.hankyung.com</w:t>
      </w:r>
    </w:p>
    <w:p>
      <w:pPr>
        <w:spacing w:after="40" w:before="40"/>
        <w:rPr>
          <w:rFonts w:ascii="맑은 고딕" w:eastAsia="맑은 고딕" w:hAnsi="맑은 고딕" w:hint="default"/>
          <w:sz w:val="16"/>
          <w:szCs w:val="16"/>
        </w:rPr>
      </w:pPr>
      <w:r>
        <w:rPr>
          <w:rFonts w:ascii="맑은 고딕" w:eastAsia="맑은 고딕" w:hAnsi="맑은 고딕" w:cs="맑은 고딕"/>
          <w:b w:val="0"/>
          <w:bCs w:val="0"/>
          <w:i w:val="0"/>
          <w:iCs w:val="0"/>
          <w:color w:val="666666"/>
          <w:sz w:val="16"/>
          <w:szCs w:val="16"/>
        </w:rPr>
        <w:t>- CXMT IPO 규모: Bloomberg https://www.bloomberg.com</w:t>
      </w:r>
    </w:p>
    <w:sectPr>
      <w:pgSz w:w="11906" w:h="16838"/>
      <w:pgMar w:top="1080" w:right="1080" w:bottom="1080" w:left="108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lvl w:ilvl="1" w:tentative="on">
      <w:start w:val="1"/>
      <w:numFmt w:val="bullet"/>
      <w:lvlText w:val="○"/>
      <w:lvlJc w:val="left"/>
      <w:pPr>
        <w:ind w:left="1440" w:hanging="360"/>
      </w:pPr>
    </w:lvl>
    <w:lvl w:ilvl="2" w:tentative="on">
      <w:start w:val="1"/>
      <w:numFmt w:val="bullet"/>
      <w:lvlText w:val="■"/>
      <w:lvlJc w:val="left"/>
      <w:pPr>
        <w:ind w:left="2160" w:hanging="360"/>
      </w:pPr>
    </w:lvl>
    <w:lvl w:ilvl="3" w:tentative="on">
      <w:start w:val="1"/>
      <w:numFmt w:val="bullet"/>
      <w:lvlText w:val="●"/>
      <w:lvlJc w:val="left"/>
      <w:pPr>
        <w:ind w:left="2880" w:hanging="360"/>
      </w:pPr>
    </w:lvl>
    <w:lvl w:ilvl="4" w:tentative="on">
      <w:start w:val="1"/>
      <w:numFmt w:val="bullet"/>
      <w:lvlText w:val="○"/>
      <w:lvlJc w:val="left"/>
      <w:pPr>
        <w:ind w:left="3600" w:hanging="360"/>
      </w:pPr>
    </w:lvl>
    <w:lvl w:ilvl="5" w:tentative="on">
      <w:start w:val="1"/>
      <w:numFmt w:val="bullet"/>
      <w:lvlText w:val="■"/>
      <w:lvlJc w:val="left"/>
      <w:pPr>
        <w:ind w:left="4320" w:hanging="360"/>
      </w:pPr>
    </w:lvl>
    <w:lvl w:ilvl="6" w:tentative="on">
      <w:start w:val="1"/>
      <w:numFmt w:val="bullet"/>
      <w:lvlText w:val="●"/>
      <w:lvlJc w:val="left"/>
      <w:pPr>
        <w:ind w:left="5040" w:hanging="360"/>
      </w:pPr>
    </w:lvl>
    <w:lvl w:ilvl="7" w:tentative="on">
      <w:start w:val="1"/>
      <w:numFmt w:val="bullet"/>
      <w:lvlText w:val="●"/>
      <w:lvlJc w:val="left"/>
      <w:pPr>
        <w:ind w:left="5760" w:hanging="360"/>
      </w:pPr>
    </w:lvl>
    <w:lvl w:ilvl="8" w:tentative="on">
      <w:start w:val="1"/>
      <w:numFmt w:val="bullet"/>
      <w:lvlText w:val="●"/>
      <w:lvlJc w:val="left"/>
      <w:pPr>
        <w:ind w:left="6480" w:hanging="360"/>
      </w:pPr>
    </w:lvl>
  </w:abstractNum>
  <w:abstractNum w:abstractNumId="1">
    <w:multiLevelType w:val="hybridMultilevel"/>
    <w:lvl w:ilvl="0" w:tentative="on">
      <w:start w:val="1"/>
      <w:numFmt w:val="bullet"/>
      <w:lvlText w:val="●"/>
      <w:lvlJc w:val="left"/>
      <w:pPr>
        <w:ind w:left="720" w:hanging="360"/>
      </w:pPr>
    </w:lvl>
    <w:lvl w:ilvl="1" w:tentative="on">
      <w:start w:val="1"/>
      <w:numFmt w:val="bullet"/>
      <w:lvlText w:val="○"/>
      <w:lvlJc w:val="left"/>
      <w:pPr>
        <w:ind w:left="1440" w:hanging="360"/>
      </w:pPr>
    </w:lvl>
    <w:lvl w:ilvl="2" w:tentative="on">
      <w:start w:val="1"/>
      <w:numFmt w:val="bullet"/>
      <w:lvlText w:val="■"/>
      <w:lvlJc w:val="left"/>
      <w:pPr>
        <w:ind w:left="2160" w:hanging="360"/>
      </w:pPr>
    </w:lvl>
    <w:lvl w:ilvl="3" w:tentative="on">
      <w:start w:val="1"/>
      <w:numFmt w:val="bullet"/>
      <w:lvlText w:val="●"/>
      <w:lvlJc w:val="left"/>
      <w:pPr>
        <w:ind w:left="2880" w:hanging="360"/>
      </w:pPr>
    </w:lvl>
    <w:lvl w:ilvl="4" w:tentative="on">
      <w:start w:val="1"/>
      <w:numFmt w:val="bullet"/>
      <w:lvlText w:val="○"/>
      <w:lvlJc w:val="left"/>
      <w:pPr>
        <w:ind w:left="3600" w:hanging="360"/>
      </w:pPr>
    </w:lvl>
    <w:lvl w:ilvl="5" w:tentative="on">
      <w:start w:val="1"/>
      <w:numFmt w:val="bullet"/>
      <w:lvlText w:val="■"/>
      <w:lvlJc w:val="left"/>
      <w:pPr>
        <w:ind w:left="4320" w:hanging="360"/>
      </w:pPr>
    </w:lvl>
    <w:lvl w:ilvl="6" w:tentative="on">
      <w:start w:val="1"/>
      <w:numFmt w:val="bullet"/>
      <w:lvlText w:val="●"/>
      <w:lvlJc w:val="left"/>
      <w:pPr>
        <w:ind w:left="5040" w:hanging="360"/>
      </w:pPr>
    </w:lvl>
    <w:lvl w:ilvl="7" w:tentative="on">
      <w:start w:val="1"/>
      <w:numFmt w:val="bullet"/>
      <w:lvlText w:val="●"/>
      <w:lvlJc w:val="left"/>
      <w:pPr>
        <w:ind w:left="5760" w:hanging="360"/>
      </w:pPr>
    </w:lvl>
    <w:lvl w:ilvl="8" w:tentative="on">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a6">
    <w:name w:val="Title"/>
    <w:basedOn w:val="a1"/>
    <w:next w:val="a1"/>
    <w:qFormat/>
    <w:rPr>
      <w:sz w:val="56"/>
      <w:szCs w:val="56"/>
    </w:rPr>
  </w:style>
  <w:style w:type="paragraph" w:styleId="a1">
    <w:name w:val="Normal"/>
    <w:qFormat/>
    <w:pPr>
      <w:autoSpaceDE w:val="off"/>
      <w:autoSpaceDN w:val="off"/>
      <w:widowControl w:val="off"/>
      <w:wordWrap w:val="off"/>
    </w:pPr>
  </w:style>
  <w:style w:type="table" w:styleId="a3">
    <w:name w:val="Normal Table"/>
    <w:semiHidden/>
    <w:unhideWhenUsed/>
    <w:tblPr>
      <w:tblInd w:w="0" w:type="dxa"/>
      <w:tblCellMar>
        <w:top w:w="0" w:type="dxa"/>
        <w:left w:w="108" w:type="dxa"/>
        <w:bottom w:w="0" w:type="dxa"/>
        <w:right w:w="108" w:type="dxa"/>
      </w:tblCellMar>
    </w:tblPr>
  </w:style>
  <w:style w:type="character" w:styleId="a2">
    <w:name w:val="Default Paragraph Font"/>
    <w:semiHidden/>
    <w:unhideWhenUsed/>
  </w:style>
  <w:style w:type="numbering" w:styleId="a4">
    <w:name w:val="No List"/>
    <w:semiHidden/>
    <w:unhideWhenUsed/>
  </w:style>
  <w:style w:type="paragraph" w:styleId="ab">
    <w:name w:val="Strong"/>
    <w:basedOn w:val="a1"/>
    <w:next w:val="a1"/>
    <w:qFormat/>
    <w:rPr>
      <w:b/>
      <w:bCs/>
    </w:rPr>
  </w:style>
  <w:style w:type="character" w:styleId="aff6">
    <w:name w:val="endnote reference"/>
    <w:basedOn w:val="a1"/>
    <w:semiHidden/>
    <w:unhideWhenUsed/>
    <w:rPr>
      <w:vertAlign w:val="superscript"/>
    </w:rPr>
  </w:style>
  <w:style w:type="paragraph" w:styleId="aff7">
    <w:name w:val="endnote text"/>
    <w:basedOn w:val="a1"/>
    <w:link w:val="Normal"/>
    <w:semiHidden/>
    <w:unhideWhenUsed/>
    <w:pPr>
      <w:spacing w:after="0" w:line="240" w:lineRule="auto"/>
    </w:pPr>
    <w:rPr>
      <w:sz w:val="20"/>
      <w:szCs w:val="20"/>
    </w:rPr>
  </w:style>
  <w:style w:type="paragraph" w:styleId="af4">
    <w:name w:val="footnote text"/>
    <w:basedOn w:val="a1"/>
    <w:link w:val="Normal"/>
    <w:semiHidden/>
    <w:unhideWhenUsed/>
    <w:pPr>
      <w:spacing w:after="0" w:line="240" w:lineRule="auto"/>
    </w:pPr>
    <w:rPr>
      <w:sz w:val="20"/>
      <w:szCs w:val="20"/>
    </w:rPr>
  </w:style>
  <w:style w:type="character" w:styleId="af5">
    <w:name w:val="footnote reference"/>
    <w:basedOn w:val="a1"/>
    <w:semiHidden/>
    <w:unhideWhenUsed/>
    <w:rPr>
      <w:vertAlign w:val="superscript"/>
    </w:rPr>
  </w:style>
  <w:style w:type="paragraph" w:styleId="af1">
    <w:name w:val="List Paragraph"/>
    <w:basedOn w:val="a1"/>
    <w:qFormat/>
  </w:style>
  <w:style w:type="character" w:styleId="afffa">
    <w:name w:val="Hyperlink"/>
    <w:basedOn w:val="a1"/>
    <w:unhideWhenUsed/>
    <w:rPr>
      <w:color w:val="0563C1"/>
      <w:u w:val="single" w:color="auto"/>
    </w:rPr>
  </w:style>
  <w:style w:type="character" w:styleId="EndnoteTextChar">
    <w:name w:val="Endnote Text Char"/>
    <w:basedOn w:val="a1"/>
    <w:link w:val="Normal"/>
    <w:semiHidden/>
    <w:unhideWhenUsed/>
    <w:rPr>
      <w:sz w:val="20"/>
      <w:szCs w:val="20"/>
    </w:rPr>
  </w:style>
  <w:style w:type="paragraph" w:styleId="Heading6">
    <w:name w:val="Heading 6"/>
    <w:basedOn w:val="a1"/>
    <w:next w:val="a1"/>
    <w:qFormat/>
    <w:rPr>
      <w:color w:val="1F4D78"/>
    </w:rPr>
  </w:style>
  <w:style w:type="paragraph" w:styleId="Heading4">
    <w:name w:val="Heading 4"/>
    <w:basedOn w:val="a1"/>
    <w:next w:val="a1"/>
    <w:qFormat/>
    <w:rPr>
      <w:i/>
      <w:iCs/>
      <w:color w:val="2E74B5"/>
    </w:rPr>
  </w:style>
  <w:style w:type="paragraph" w:styleId="Heading3">
    <w:name w:val="Heading 3"/>
    <w:basedOn w:val="a1"/>
    <w:next w:val="a1"/>
    <w:qFormat/>
    <w:rPr>
      <w:color w:val="1F4D78"/>
      <w:sz w:val="24"/>
      <w:szCs w:val="24"/>
    </w:rPr>
  </w:style>
  <w:style w:type="paragraph" w:styleId="Heading1">
    <w:name w:val="Heading 1"/>
    <w:basedOn w:val="a1"/>
    <w:next w:val="a1"/>
    <w:qFormat/>
    <w:pPr>
      <w:outlineLvl w:val="0"/>
      <w:pBdr>
        <w:bottom w:val="single" w:sz="6" w:space="1" w:color="2E75B6"/>
      </w:pBdr>
      <w:spacing w:after="200" w:before="300"/>
    </w:pPr>
    <w:rPr>
      <w:rFonts w:ascii="맑은 고딕" w:eastAsia="맑은 고딕" w:hAnsi="맑은 고딕" w:cs="맑은 고딕"/>
      <w:b/>
      <w:bCs/>
      <w:color w:val="1F3864"/>
      <w:sz w:val="28"/>
      <w:szCs w:val="28"/>
    </w:rPr>
  </w:style>
  <w:style w:type="paragraph" w:styleId="Heading5">
    <w:name w:val="Heading 5"/>
    <w:basedOn w:val="a1"/>
    <w:next w:val="a1"/>
    <w:qFormat/>
    <w:rPr>
      <w:color w:val="2E74B5"/>
    </w:rPr>
  </w:style>
  <w:style w:type="paragraph" w:styleId="Heading2">
    <w:name w:val="Heading 2"/>
    <w:basedOn w:val="a1"/>
    <w:next w:val="a1"/>
    <w:qFormat/>
    <w:pPr>
      <w:outlineLvl w:val="1"/>
      <w:spacing w:after="120" w:before="240"/>
    </w:pPr>
    <w:rPr>
      <w:rFonts w:ascii="맑은 고딕" w:eastAsia="맑은 고딕" w:hAnsi="맑은 고딕" w:cs="맑은 고딕"/>
      <w:b/>
      <w:bCs/>
      <w:color w:val="2E75B6"/>
      <w:sz w:val="24"/>
      <w:szCs w:val="24"/>
    </w:rPr>
  </w:style>
  <w:style w:type="character" w:styleId="FootnoteTextChar">
    <w:name w:val="Footnote Text Char"/>
    <w:basedOn w:val="a1"/>
    <w:link w:val="Normal"/>
    <w:semiHidden/>
    <w:unhideWhenUsed/>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arlo0</dc:creator>
  <cp:keywords/>
  <dc:description/>
  <cp:lastModifiedBy>arlo0</cp:lastModifiedBy>
  <cp:revision>1</cp:revision>
  <dcterms:modified xsi:type="dcterms:W3CDTF">2026-06-28T13:53:48Z</dcterms:modified>
  <cp:version>0900.0001.01</cp:version>
</cp:coreProperties>
</file>