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36"/>
        </w:rPr>
        <w:t>전환사채(CB) LSMC 평가</w:t>
      </w:r>
    </w:p>
    <w:p>
      <w:pPr>
        <w:spacing w:after="160"/>
      </w:pPr>
      <w:r>
        <w:rPr>
          <w:b w:val="0"/>
          <w:color w:val="595959"/>
          <w:sz w:val="18"/>
        </w:rPr>
        <w:t>리픽싱·조기상환청구권이 있는 3년 만기 CB (가상의 예시 상품) | 평가 기준일 2026-10-29 | 포트폴리오용 개인 분석, 투자 권유 아님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color w:val="1F3864"/>
          <w:sz w:val="24"/>
        </w:rPr>
        <w:t>요약</w:t>
      </w:r>
    </w:p>
    <w:p>
      <w:pPr>
        <w:pStyle w:val="ListBullet"/>
        <w:spacing w:after="20"/>
      </w:pPr>
      <w:r>
        <w:rPr>
          <w:sz w:val="19"/>
        </w:rPr>
        <w:t>국내 CB의 미국형 전환권, 조기상환청구권(풋), 리픽싱을 모두 넣은 가상 CB를 LSMC로 평가했다. CB 가치는 액면 100 기준 134.13(±0.07), 전환 53.1% · 풋 35.5% · 만기상환 11.5%.</w:t>
      </w:r>
    </w:p>
    <w:p>
      <w:pPr>
        <w:pStyle w:val="ListBullet"/>
        <w:spacing w:after="20"/>
      </w:pPr>
      <w:r>
        <w:rPr>
          <w:sz w:val="19"/>
        </w:rPr>
        <w:t>가치 분해: 순수 채권 92.90 + 전환권 29.05 + 조기상환청구권 0.87 + 리픽싱 11.31.</w:t>
      </w:r>
    </w:p>
    <w:p>
      <w:pPr>
        <w:pStyle w:val="ListBullet"/>
        <w:spacing w:after="20"/>
      </w:pPr>
      <w:r>
        <w:rPr>
          <w:sz w:val="19"/>
        </w:rPr>
        <w:t>엔진 검증: 만기 전환 CB 해석해 121.27 vs MC 121.28(±0.14), 버뮤단 풋 트리 0.1669 vs LSMC 0.1668, 리픽싱 없는 CB 트리 122.88 vs LSMC 122.70.</w:t>
      </w:r>
    </w:p>
    <w:p>
      <w:pPr>
        <w:pStyle w:val="ListBullet"/>
        <w:spacing w:after="20"/>
      </w:pPr>
      <w:r>
        <w:rPr>
          <w:sz w:val="19"/>
        </w:rPr>
        <w:t>회귀 기저가 결과를 바꿨다: 패리티 다항식만 쓰면 트리보다 0.72 낮았고(LSMC의 아래쪽 편향), 유럽형 CB 해석해를 기저에 넣자 차이가 0.18로 줄었다.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color w:val="1F3864"/>
          <w:sz w:val="24"/>
        </w:rPr>
        <w:t>상품 조건 (가상)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608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257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조건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기초주식 / 최초 전환가액</w:t>
            </w:r>
          </w:p>
        </w:tc>
        <w:tc>
          <w:tcPr>
            <w:tcW w:type="dxa" w:w="725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JYP Ent. (035900), 기준일 종가 38,600원 = 최초 전환가액 (할증 0%)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만기 / 표면이자 / 만기보장수익률</w:t>
            </w:r>
          </w:p>
        </w:tc>
        <w:tc>
          <w:tcPr>
            <w:tcW w:type="dxa" w:w="725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3년 / 0% / 2% (3개월 복리), 만기상환 106.17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전환</w:t>
            </w:r>
          </w:p>
        </w:tc>
        <w:tc>
          <w:tcPr>
            <w:tcW w:type="dxa" w:w="725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1년 후 ~ 만기 1개월 전, 매주(모형상 주 단위 행사)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조기상환청구권(풋)</w:t>
            </w:r>
          </w:p>
        </w:tc>
        <w:tc>
          <w:tcPr>
            <w:tcW w:type="dxa" w:w="725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1.5년 후 3개월마다, 조기상환수익률 2%: 1.50y 103.04, 1.75y 103.55, 2.00y 104.07, 2.25y 104.59, 2.50y 105.11, 2.75y 105.64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리픽싱</w:t>
            </w:r>
          </w:p>
        </w:tc>
        <w:tc>
          <w:tcPr>
            <w:tcW w:type="dxa" w:w="725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3개월마다, 주가 &lt; 전환가액이면 주가로 하향. 하한 최초 전환가액의 70%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넣지 않은 것</w:t>
            </w:r>
          </w:p>
        </w:tc>
        <w:tc>
          <w:tcPr>
            <w:tcW w:type="dxa" w:w="725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발행사 매도청구권(콜), 희석, 리픽싱 기준가 가중평균 산식</w:t>
            </w:r>
          </w:p>
        </w:tc>
      </w:tr>
    </w:tbl>
    <w:p>
      <w:pPr>
        <w:spacing w:after="40"/>
      </w:pP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color w:val="1F3864"/>
          <w:sz w:val="24"/>
        </w:rPr>
        <w:t>모형과 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81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값</w:t>
            </w:r>
          </w:p>
        </w:tc>
        <w:tc>
          <w:tcPr>
            <w:tcW w:type="dxa" w:w="4876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출처 / 근거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주가 과정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위험중립 GBM, 주 단위 정확 이산화</w:t>
            </w:r>
          </w:p>
        </w:tc>
        <w:tc>
          <w:tcPr>
            <w:tcW w:type="dxa" w:w="487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drift = r − q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변동성 (기본)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44.8%</w:t>
            </w:r>
          </w:p>
        </w:tc>
        <w:tc>
          <w:tcPr>
            <w:tcW w:type="dxa" w:w="487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최근 3년 일간 로그수익률 (730일), 만기와 같은 기간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변동성 (스트레스)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48.8%</w:t>
            </w:r>
          </w:p>
        </w:tc>
        <w:tc>
          <w:tcPr>
            <w:tcW w:type="dxa" w:w="487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최근 1년 (244일). 참고: 전체 44.7% (2014-08-06 ~ 2026-10-29)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무위험금리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3.766%</w:t>
            </w:r>
          </w:p>
        </w:tc>
        <w:tc>
          <w:tcPr>
            <w:tcW w:type="dxa" w:w="487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국고채 3년 (ECOS, 20261029)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신용스프레드 (기본 / 스트레스)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0.68%p / 6.51%p</w:t>
            </w:r>
          </w:p>
        </w:tc>
        <w:tc>
          <w:tcPr>
            <w:tcW w:type="dxa" w:w="487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회사채 3년 AA-·BBB- − 국고채 3년 (ECOS, 20261029)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배당수익률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2.27%</w:t>
            </w:r>
          </w:p>
        </w:tc>
        <w:tc>
          <w:tcPr>
            <w:tcW w:type="dxa" w:w="487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DART 2025 사업보고서 주당 현금배당금 877원 ÷ 기준일 종가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신용위험 처리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Tsiveriotis-Fernandes</w:t>
            </w:r>
          </w:p>
        </w:tc>
        <w:tc>
          <w:tcPr>
            <w:tcW w:type="dxa" w:w="487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전환분은 r, 현금 상환분(만기·풋)은 r + s로 할인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LSMC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훈련 10만 + 평가 20만 경로</w:t>
            </w:r>
          </w:p>
        </w:tc>
        <w:tc>
          <w:tcPr>
            <w:tcW w:type="dxa" w:w="487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회귀계수와 가격을 다른 난수로(out-of-sample), 대조변수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color w:val="1F3864"/>
          <w:sz w:val="24"/>
        </w:rPr>
        <w:t>엔진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608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  <w:t>검증</w:t>
            </w:r>
          </w:p>
        </w:tc>
        <w:tc>
          <w:tcPr>
            <w:tcW w:type="dxa" w:w="2721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기준값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LSMC / MC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확인한 것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① 만기에만 전환하는 CB</w:t>
            </w:r>
          </w:p>
        </w:tc>
        <w:tc>
          <w:tcPr>
            <w:tcW w:type="dxa" w:w="272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해석해 121.27 / 트리 121.27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121.28 (±0.14)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경로 생성·TF 할인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② 주식 버뮤단 풋(1년, ATM)</w:t>
            </w:r>
          </w:p>
        </w:tc>
        <w:tc>
          <w:tcPr>
            <w:tcW w:type="dxa" w:w="272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트리 0.1669 (유럽형 0.1648)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0.1668 (±0.0002)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회귀·조기행사 로직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③ 리픽싱 없는 CB: 다항식 기저</w:t>
            </w:r>
          </w:p>
        </w:tc>
        <w:tc>
          <w:tcPr>
            <w:tcW w:type="dxa" w:w="272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트리 122.88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122.16 (±0.07)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기저가 부족하면 아래로 편향</w:t>
            </w:r>
          </w:p>
        </w:tc>
      </w:tr>
      <w:tr>
        <w:tc>
          <w:tcPr>
            <w:tcW w:type="dxa" w:w="2608"/>
            <w:shd w:val="clear" w:color="auto" w:fill="DEEAF6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③ 리픽싱 없는 CB: 해석해 기저</w:t>
            </w:r>
          </w:p>
        </w:tc>
        <w:tc>
          <w:tcPr>
            <w:tcW w:type="dxa" w:w="2721"/>
            <w:shd w:val="clear" w:color="auto" w:fill="DEEAF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트리 122.88</w:t>
            </w:r>
          </w:p>
        </w:tc>
        <w:tc>
          <w:tcPr>
            <w:tcW w:type="dxa" w:w="2041"/>
            <w:shd w:val="clear" w:color="auto" w:fill="DEEAF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122.70 (±0.09)</w:t>
            </w:r>
          </w:p>
        </w:tc>
        <w:tc>
          <w:tcPr>
            <w:tcW w:type="dxa" w:w="2494"/>
            <w:shd w:val="clear" w:color="auto" w:fill="DEEAF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본 평가에 쓴 기저</w:t>
            </w:r>
          </w:p>
        </w:tc>
      </w:tr>
    </w:tbl>
    <w:p>
      <w:pPr>
        <w:spacing w:after="40"/>
      </w:pPr>
    </w:p>
    <w:p>
      <w:r>
        <w:rPr>
          <w:b w:val="0"/>
          <w:sz w:val="18"/>
        </w:rPr>
        <w:t>이항트리는 한 주를 여러 스텝으로 나누되 행사는 주 단위 시점에서만 허용해 LSMC와 행사 기회를 맞췄다. TF 트리는 노드마다 전체 가치와 현금 부분을 함께 들고 가며 서로 다른 할인율을 적용한다. 트리 스텝 수에 따른 값: 한 주 2스텝 122.90, 한 주 5스텝 122.86, 한 주 10스텝 122.88, 한 주 20스텝 122.87.</w:t>
      </w:r>
    </w:p>
    <w:p>
      <w:r>
        <w:rPr>
          <w:b w:val="0"/>
          <w:sz w:val="18"/>
        </w:rPr>
        <w:t>LSMC는 회귀로 추정한 계속 보유 가치로 행사 여부를 정하므로 회귀가 틀리면 덜 최적인 행사를 하게 되고, 그 결과는 참값보다 낮아진다. in-sample(회귀와 가격을 같은 경로로) 값은 122.71, out-of-sample 값은 122.70였다.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color w:val="595959"/>
          <w:sz w:val="16"/>
        </w:rPr>
        <w:t>평가 경로 수에 따른 CB 가치 수렴</w:t>
      </w:r>
    </w:p>
    <w:p>
      <w:r>
        <w:br w:type="page"/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color w:val="1F3864"/>
          <w:sz w:val="24"/>
        </w:rPr>
        <w:t>가치 분해 (액면 100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35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  <w:t>구성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가치</w:t>
            </w:r>
          </w:p>
        </w:tc>
        <w:tc>
          <w:tcPr>
            <w:tcW w:type="dxa" w:w="5329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순수 채권 (만기상환만)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92.90</w:t>
            </w:r>
          </w:p>
        </w:tc>
        <w:tc>
          <w:tcPr>
            <w:tcW w:type="dxa" w:w="5329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만기상환액을 r + s로 할인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+ 전환권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+29.05</w:t>
            </w:r>
          </w:p>
        </w:tc>
        <w:tc>
          <w:tcPr>
            <w:tcW w:type="dxa" w:w="5329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전환만 있는 CB 121.95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+ 조기상환청구권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+0.87</w:t>
            </w:r>
          </w:p>
        </w:tc>
        <w:tc>
          <w:tcPr>
            <w:tcW w:type="dxa" w:w="5329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전환 + 풋 122.82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+ 리픽싱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+11.31</w:t>
            </w:r>
          </w:p>
        </w:tc>
        <w:tc>
          <w:tcPr>
            <w:tcW w:type="dxa" w:w="5329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전환가액 하향 조정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CB 가치</w:t>
            </w:r>
          </w:p>
        </w:tc>
        <w:tc>
          <w:tcPr>
            <w:tcW w:type="dxa" w:w="1701"/>
            <w:shd w:val="clear" w:color="auto" w:fill="DEEAF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134.13</w:t>
            </w:r>
          </w:p>
        </w:tc>
        <w:tc>
          <w:tcPr>
            <w:tcW w:type="dxa" w:w="5329"/>
            <w:shd w:val="clear" w:color="auto" w:fill="DEEAF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채권 가치(전환권 없음, 풋 포함) 96.39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color w:val="595959"/>
          <w:sz w:val="16"/>
        </w:rPr>
        <w:t>주가에 따른 CB 가치 (같은 난수, 경로 10만 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2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th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color w:val="595959"/>
          <w:sz w:val="16"/>
        </w:rPr>
        <w:t>표본 경로와 리픽싱된 전환가액</w:t>
      </w:r>
    </w:p>
    <w:p>
      <w:r>
        <w:br w:type="page"/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color w:val="1F3864"/>
          <w:sz w:val="24"/>
        </w:rPr>
        <w:t>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948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  <w:t>시나리오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CB 가치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채권 가치(풋 포함)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전환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풋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만기상환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기본 (3년 변동성, AA-)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134.13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96.39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53.1%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35.5%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11.5%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변동성 스트레스 (최근 1년)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136.90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96.39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50.5%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37.9%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11.6%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신용 스트레스 (BBB-)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128.38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88.32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52.3%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41.0%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6.7%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동시 스트레스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130.84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88.32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49.7%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43.4%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6.8%</w:t>
            </w:r>
          </w:p>
        </w:tc>
      </w:tr>
    </w:tbl>
    <w:p>
      <w:pPr>
        <w:spacing w:after="40"/>
      </w:pP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color w:val="1F3864"/>
          <w:sz w:val="24"/>
        </w:rPr>
        <w:t>민감도 (같은 난수로 재평가)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  <w:t>입력 변화</w:t>
            </w:r>
          </w:p>
        </w:tc>
        <w:tc>
          <w:tcPr>
            <w:tcW w:type="dxa" w:w="4932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가치 변화 (액면 100 기준)</w:t>
            </w:r>
          </w:p>
        </w:tc>
      </w:tr>
      <w:tr>
        <w:tc>
          <w:tcPr>
            <w:tcW w:type="dxa" w:w="4932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주가 +1% (델타)</w:t>
            </w:r>
          </w:p>
        </w:tc>
        <w:tc>
          <w:tcPr>
            <w:tcW w:type="dxa" w:w="4932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+0.503</w:t>
            </w:r>
          </w:p>
        </w:tc>
      </w:tr>
      <w:tr>
        <w:tc>
          <w:tcPr>
            <w:tcW w:type="dxa" w:w="4932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주가 ±1% 감마</w:t>
            </w:r>
          </w:p>
        </w:tc>
        <w:tc>
          <w:tcPr>
            <w:tcW w:type="dxa" w:w="4932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+0.050</w:t>
            </w:r>
          </w:p>
        </w:tc>
      </w:tr>
      <w:tr>
        <w:tc>
          <w:tcPr>
            <w:tcW w:type="dxa" w:w="4932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변동성 +1%p</w:t>
            </w:r>
          </w:p>
        </w:tc>
        <w:tc>
          <w:tcPr>
            <w:tcW w:type="dxa" w:w="4932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+0.697</w:t>
            </w:r>
          </w:p>
        </w:tc>
      </w:tr>
      <w:tr>
        <w:tc>
          <w:tcPr>
            <w:tcW w:type="dxa" w:w="4932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신용스프레드 +50bp</w:t>
            </w:r>
          </w:p>
        </w:tc>
        <w:tc>
          <w:tcPr>
            <w:tcW w:type="dxa" w:w="4932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-0.545</w:t>
            </w:r>
          </w:p>
        </w:tc>
      </w:tr>
      <w:tr>
        <w:tc>
          <w:tcPr>
            <w:tcW w:type="dxa" w:w="4932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무위험금리 +10bp</w:t>
            </w:r>
          </w:p>
        </w:tc>
        <w:tc>
          <w:tcPr>
            <w:tcW w:type="dxa" w:w="4932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-0.120</w:t>
            </w:r>
          </w:p>
        </w:tc>
      </w:tr>
      <w:tr>
        <w:tc>
          <w:tcPr>
            <w:tcW w:type="dxa" w:w="4932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배당수익률 +1%p</w:t>
            </w:r>
          </w:p>
        </w:tc>
        <w:tc>
          <w:tcPr>
            <w:tcW w:type="dxa" w:w="4932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-1.452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672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7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color w:val="595959"/>
          <w:sz w:val="16"/>
        </w:rPr>
        <w:t>변동성·신용스프레드·리픽싱 하한에 따른 CB 가치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b/>
          <w:color w:val="1F3864"/>
          <w:sz w:val="24"/>
        </w:rPr>
        <w:t>한계와 다음 단계</w:t>
      </w:r>
    </w:p>
    <w:p>
      <w:pPr>
        <w:pStyle w:val="ListBullet"/>
        <w:spacing w:after="20"/>
      </w:pPr>
      <w:r>
        <w:rPr>
          <w:sz w:val="19"/>
        </w:rPr>
        <w:t>상수 과거 변동성을 썼다. 실무라면 상장 옵션이 없는 개별 주식의 변동성을 어떻게 정할지(과거 변동성 기간, 유사 종목)가 가장 큰 가정이다.</w:t>
      </w:r>
    </w:p>
    <w:p>
      <w:pPr>
        <w:pStyle w:val="ListBullet"/>
        <w:spacing w:after="20"/>
      </w:pPr>
      <w:r>
        <w:rPr>
          <w:sz w:val="19"/>
        </w:rPr>
        <w:t>신용스프레드는 발행사 개별 등급이 아니라 회사채 AA-·BBB- 평균 스프레드로 시나리오를 나눴다.</w:t>
      </w:r>
    </w:p>
    <w:p>
      <w:pPr>
        <w:pStyle w:val="ListBullet"/>
        <w:spacing w:after="20"/>
      </w:pPr>
      <w:r>
        <w:rPr>
          <w:sz w:val="19"/>
        </w:rPr>
        <w:t>리픽싱 기준가는 실제 약정의 가중평균 산식 대신 리픽싱일 주가로 단순화했고, 발행사 매도청구권과 희석은 넣지 않았다.</w:t>
      </w:r>
    </w:p>
    <w:p>
      <w:pPr>
        <w:pStyle w:val="ListBullet"/>
        <w:spacing w:after="20"/>
      </w:pPr>
      <w:r>
        <w:rPr>
          <w:sz w:val="19"/>
        </w:rPr>
        <w:t>LSMC 결과는 회귀 기저에 따라 아래로 치우칠 수 있다. 리픽싱이 있는 경우는 트리 기준값이 없어 같은 기저의 편향이 리픽싱 없는 경우와 비슷하다고 가정했다.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