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1F3864"/>
          <w:sz w:val="34"/>
        </w:rPr>
        <w:t>2자산 스텝다운 ELS 몬테카를로 평가 보고서</w:t>
      </w:r>
    </w:p>
    <w:p>
      <w:pPr>
        <w:spacing w:after="160"/>
      </w:pPr>
      <w:r>
        <w:rPr>
          <w:b w:val="0"/>
          <w:i w:val="0"/>
          <w:color w:val="595959"/>
          <w:sz w:val="18"/>
        </w:rPr>
        <w:t>KOSPI200 · S&amp;P500 기초 3년 만기 · 평가 기준일 2026-10-27 · 송호빈 (github.com/hopever0105/quant-strategy-lab)</w:t>
      </w:r>
    </w:p>
    <w:p>
      <w:r>
        <w:rPr>
          <w:b w:val="0"/>
          <w:i/>
          <w:color w:val="7F7F7F"/>
          <w:sz w:val="16"/>
        </w:rPr>
        <w:t>포트폴리오용 개인 분석입니다. 가상의 예시 상품이며 실제 발행 상품의 가격이나 투자 권유가 아닙니다.</w:t>
      </w:r>
    </w:p>
    <w:p>
      <w:pPr>
        <w:keepNext/>
        <w:spacing w:after="60" w:before="160"/>
        <w:pBdr>
          <w:bottom w:val="single" w:sz="6" w:space="1" w:color="1F3864"/>
        </w:pBdr>
      </w:pPr>
      <w:r>
        <w:rPr>
          <w:b/>
          <w:i w:val="0"/>
          <w:color w:val="1F3864"/>
          <w:sz w:val="24"/>
        </w:rPr>
        <w:t>요약</w:t>
      </w:r>
    </w:p>
    <w:p>
      <w:pPr>
        <w:pStyle w:val="ListBullet"/>
        <w:spacing w:after="20"/>
      </w:pPr>
      <w:r>
        <w:rPr>
          <w:sz w:val="19"/>
        </w:rPr>
        <w:t>자산평가회사의 주식연계파생상품 평가 절차(발행정보 확인 → 시장데이터 수집 → 파라미터 산출 → 가치평가 → 가격검증)를 그대로 따라 2자산 스텝다운 ELS를 Black-Scholes·몬테카를로로 평가했습니다.</w:t>
      </w:r>
    </w:p>
    <w:p>
      <w:pPr>
        <w:pStyle w:val="ListBullet"/>
        <w:spacing w:after="20"/>
      </w:pPr>
      <w:r>
        <w:rPr>
          <w:sz w:val="19"/>
        </w:rPr>
        <w:t>기본 시나리오(2014년 이후 변동성) 공정 쿠폰은 연 8.07%, 원금손실 확률 6.1%입니다. 최근 1년 실현변동성(KOSPI200 60.6%)을 넣으면 공정 쿠폰이 연 36.77%로 올라, 같은 상품도 변동성 입력 기간에 따라 가치가 크게 달라졌습니다.</w:t>
      </w:r>
    </w:p>
    <w:p>
      <w:pPr>
        <w:pStyle w:val="ListBullet"/>
        <w:spacing w:after="20"/>
      </w:pPr>
      <w:r>
        <w:rPr>
          <w:sz w:val="19"/>
        </w:rPr>
        <w:t>엔진 검증: 같은 경로 생성기로 계산한 선도가격·콜옵션이 해석해와 표준오차 안에서 일치했고, 400,000개 경로에서 가격 표준오차는 0.023%p입니다.</w:t>
      </w:r>
    </w:p>
    <w:p>
      <w:pPr>
        <w:pStyle w:val="ListBullet"/>
        <w:spacing w:after="20"/>
      </w:pPr>
      <w:r>
        <w:rPr>
          <w:sz w:val="19"/>
        </w:rPr>
        <w:t>민감도: 두 지수 변동성 +1%p에 가격 -0.63%, KOSPI200 +1%에 +0.185%. 상관 변화의 영향은 이 구조에서 작았습니다(+0.05에 +0.007%).</w:t>
      </w:r>
    </w:p>
    <w:p>
      <w:pPr>
        <w:pStyle w:val="ListBullet"/>
        <w:spacing w:after="20"/>
      </w:pPr>
      <w:r>
        <w:rPr>
          <w:sz w:val="19"/>
        </w:rPr>
        <w:t>과거 실제 경로 2,271개(2014-08 ~ 2023-10 발행 가정)에서 6개월 조기상환은 85.8%, 원금손실은 0.0%로 모형의 위험중립 확률(65.4%, 6.1%)과 달랐습니다.</w:t>
      </w:r>
    </w:p>
    <w:p>
      <w:pPr>
        <w:keepNext/>
        <w:spacing w:after="60" w:before="160"/>
        <w:pBdr>
          <w:bottom w:val="single" w:sz="6" w:space="1" w:color="1F3864"/>
        </w:pBdr>
      </w:pPr>
      <w:r>
        <w:rPr>
          <w:b/>
          <w:i w:val="0"/>
          <w:color w:val="1F3864"/>
          <w:sz w:val="24"/>
        </w:rPr>
        <w:t>1. 평가 대상 상품 (발행정보)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041"/>
            <w:shd w:val="clear" w:color="auto" w:fill="1F3864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710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7"/>
              </w:rPr>
              <w:t>조건</w:t>
            </w:r>
          </w:p>
        </w:tc>
      </w:tr>
      <w:tr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sz w:val="17"/>
              </w:rPr>
              <w:t>기초자산</w:t>
            </w:r>
          </w:p>
        </w:tc>
        <w:tc>
          <w:tcPr>
            <w:tcW w:type="dxa" w:w="7710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KOSPI200, S&amp;P500 (S&amp;P500 성과도 원화로 지급 = 콴토)</w:t>
            </w:r>
          </w:p>
        </w:tc>
      </w:tr>
      <w:tr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sz w:val="17"/>
              </w:rPr>
              <w:t>만기 / 평가 주기</w:t>
            </w:r>
          </w:p>
        </w:tc>
        <w:tc>
          <w:tcPr>
            <w:tcW w:type="dxa" w:w="7710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3년 / 6개월마다 조기상환 평가 (총 6회)</w:t>
            </w:r>
          </w:p>
        </w:tc>
      </w:tr>
      <w:tr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sz w:val="17"/>
              </w:rPr>
              <w:t>조기상환 배리어</w:t>
            </w:r>
          </w:p>
        </w:tc>
        <w:tc>
          <w:tcPr>
            <w:tcW w:type="dxa" w:w="7710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90% - 90% - 85% - 85% - 80% - 75% (낮은 쪽 지수 성과 기준)</w:t>
            </w:r>
          </w:p>
        </w:tc>
      </w:tr>
      <w:tr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sz w:val="17"/>
              </w:rPr>
              <w:t>낙인(Knock-In)</w:t>
            </w:r>
          </w:p>
        </w:tc>
        <w:tc>
          <w:tcPr>
            <w:tcW w:type="dxa" w:w="7710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50%, 일별 종가 관찰</w:t>
            </w:r>
          </w:p>
        </w:tc>
      </w:tr>
      <w:tr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sz w:val="17"/>
              </w:rPr>
              <w:t>지급</w:t>
            </w:r>
          </w:p>
        </w:tc>
        <w:tc>
          <w:tcPr>
            <w:tcW w:type="dxa" w:w="7710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평가일에 낮은 쪽 성과 ≥ 배리어 → 원금 + 연 쿠폰 × 경과 연수 지급 후 종료</w:t>
            </w:r>
          </w:p>
        </w:tc>
      </w:tr>
      <w:tr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sz w:val="17"/>
              </w:rPr>
              <w:t>만기 미상환 시</w:t>
            </w:r>
          </w:p>
        </w:tc>
        <w:tc>
          <w:tcPr>
            <w:tcW w:type="dxa" w:w="7710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낙인이 한 번도 없었으면 원금 + 3년 쿠폰, 낙인이 있었고 만기 배리어 미만이면 낮은 쪽 성과만큼 지급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10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ayof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0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before="160"/>
        <w:pBdr>
          <w:bottom w:val="single" w:sz="6" w:space="1" w:color="1F3864"/>
        </w:pBdr>
      </w:pPr>
      <w:r>
        <w:rPr>
          <w:b/>
          <w:i w:val="0"/>
          <w:color w:val="1F3864"/>
          <w:sz w:val="24"/>
        </w:rPr>
        <w:t>2. 모형과 계산 방법</w:t>
      </w:r>
    </w:p>
    <w:p>
      <w:r>
        <w:rPr>
          <w:b w:val="0"/>
          <w:i w:val="0"/>
        </w:rPr>
        <w:t>위험중립 측도에서 두 지수는 상관된 기하 브라운 운동을 따른다고 두었습니다. 원화 투자자 기준이므로 할인은 원화 무위험금리로 하고, 달러 자산인 S&amp;P500의 기대수익률에는 콴토 조정을 넣었습니다.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val="clear" w:color="auto" w:fill="1F3864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937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7"/>
              </w:rPr>
              <w:t>식</w:t>
            </w:r>
          </w:p>
        </w:tc>
      </w:tr>
      <w:tr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sz w:val="17"/>
              </w:rPr>
              <w:t>KOSPI200</w:t>
            </w:r>
          </w:p>
        </w:tc>
        <w:tc>
          <w:tcPr>
            <w:tcW w:type="dxa" w:w="7937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dS₁/S₁ = (r_KRW − q₁) dt + σ₁ dW₁</w:t>
            </w:r>
          </w:p>
        </w:tc>
      </w:tr>
      <w:tr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sz w:val="17"/>
              </w:rPr>
              <w:t>S&amp;P500 (콴토)</w:t>
            </w:r>
          </w:p>
        </w:tc>
        <w:tc>
          <w:tcPr>
            <w:tcW w:type="dxa" w:w="7937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dS₂/S₂ = (r_USD − q₂ − ρ(S₂,FX)·σ₂·σ_FX) dt + σ₂ dW₂,   FX = 원/달러</w:t>
            </w:r>
          </w:p>
        </w:tc>
      </w:tr>
      <w:tr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sz w:val="17"/>
              </w:rPr>
              <w:t>상관</w:t>
            </w:r>
          </w:p>
        </w:tc>
        <w:tc>
          <w:tcPr>
            <w:tcW w:type="dxa" w:w="7937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dW₁·dW₂ = ρ dt  (촐레스키 분해로 상관 난수 생성)</w:t>
            </w:r>
          </w:p>
        </w:tc>
      </w:tr>
      <w:tr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sz w:val="17"/>
              </w:rPr>
              <w:t>가격</w:t>
            </w:r>
          </w:p>
        </w:tc>
        <w:tc>
          <w:tcPr>
            <w:tcW w:type="dxa" w:w="7937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V = E[ e^(−r_KRW·τ) · (P + c·Y) ],  τ = 지급 시점, P = 원금 부분, Y = 쿠폰이 붙는 연수</w:t>
            </w:r>
          </w:p>
        </w:tc>
      </w:tr>
      <w:tr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sz w:val="17"/>
              </w:rPr>
              <w:t>공정 쿠폰</w:t>
            </w:r>
          </w:p>
        </w:tc>
        <w:tc>
          <w:tcPr>
            <w:tcW w:type="dxa" w:w="7937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V가 c에 선형이므로 c* = (1 − E[e^(−rτ)P]) / E[e^(−rτ)Y]  → 시뮬레이션 1회로 산출</w:t>
            </w:r>
          </w:p>
        </w:tc>
      </w:tr>
    </w:tbl>
    <w:p>
      <w:pPr>
        <w:spacing w:after="40"/>
      </w:pPr>
    </w:p>
    <w:p>
      <w:pPr>
        <w:pStyle w:val="ListBullet"/>
        <w:spacing w:after="20"/>
      </w:pPr>
      <w:r>
        <w:rPr>
          <w:sz w:val="19"/>
        </w:rPr>
        <w:t>경로: 1년 252일, 3년 756일 일별 경로, 기본 200,000개. 대조변수(antithetic)로 분산을 줄이고, 표준오차는 대조변수 쌍을 하나의 관측으로 묶어 계산했습니다(쌍끼리 음의 상관이라 그냥 표준편차를 쓰면 과대추정).</w:t>
      </w:r>
    </w:p>
    <w:p>
      <w:pPr>
        <w:pStyle w:val="ListBullet"/>
        <w:spacing w:after="20"/>
      </w:pPr>
      <w:r>
        <w:rPr>
          <w:sz w:val="19"/>
        </w:rPr>
        <w:t>민감도는 같은 난수(seed 고정)로 입력만 바꿔 재평가했습니다(common random numbers). 델타·감마는 ±1% 중앙차분, 베가는 +1%p.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17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ath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before="160"/>
        <w:pBdr>
          <w:bottom w:val="single" w:sz="6" w:space="1" w:color="1F3864"/>
        </w:pBdr>
      </w:pPr>
      <w:r>
        <w:rPr>
          <w:b/>
          <w:i w:val="0"/>
          <w:color w:val="1F3864"/>
          <w:sz w:val="24"/>
        </w:rPr>
        <w:t>3. 시장데이터와 파라미터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154"/>
            <w:shd w:val="clear" w:color="auto" w:fill="1F3864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7"/>
              </w:rPr>
              <w:t>데이터</w:t>
            </w:r>
          </w:p>
        </w:tc>
        <w:tc>
          <w:tcPr>
            <w:tcW w:type="dxa" w:w="3515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7"/>
              </w:rPr>
              <w:t>출처</w:t>
            </w:r>
          </w:p>
        </w:tc>
        <w:tc>
          <w:tcPr>
            <w:tcW w:type="dxa" w:w="4082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7"/>
              </w:rPr>
              <w:t>비고</w:t>
            </w:r>
          </w:p>
        </w:tc>
      </w:tr>
      <w:tr>
        <w:tc>
          <w:tcPr>
            <w:tcW w:type="dxa" w:w="2154"/>
          </w:tcPr>
          <w:p>
            <w:pPr>
              <w:spacing w:after="0"/>
              <w:jc w:val="left"/>
            </w:pPr>
            <w:r/>
            <w:r>
              <w:rPr>
                <w:sz w:val="17"/>
              </w:rPr>
              <w:t>KOSPI200 일별 종가</w:t>
            </w:r>
          </w:p>
        </w:tc>
        <w:tc>
          <w:tcPr>
            <w:tcW w:type="dxa" w:w="3515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네이버 금융 차트(KPI200)</w:t>
            </w:r>
          </w:p>
        </w:tc>
        <w:tc>
          <w:tcPr>
            <w:tcW w:type="dxa" w:w="4082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2014-08-04 이후 (881.07, 기준일 종가)</w:t>
            </w:r>
          </w:p>
        </w:tc>
      </w:tr>
      <w:tr>
        <w:tc>
          <w:tcPr>
            <w:tcW w:type="dxa" w:w="2154"/>
          </w:tcPr>
          <w:p>
            <w:pPr>
              <w:spacing w:after="0"/>
              <w:jc w:val="left"/>
            </w:pPr>
            <w:r/>
            <w:r>
              <w:rPr>
                <w:sz w:val="17"/>
              </w:rPr>
              <w:t>S&amp;P500, 원/달러</w:t>
            </w:r>
          </w:p>
        </w:tc>
        <w:tc>
          <w:tcPr>
            <w:tcW w:type="dxa" w:w="3515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Yahoo Finance (^GSPC, KRW=X)</w:t>
            </w:r>
          </w:p>
        </w:tc>
        <w:tc>
          <w:tcPr>
            <w:tcW w:type="dxa" w:w="4082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S&amp;P500 1995년~, 원/달러 2003년~</w:t>
            </w:r>
          </w:p>
        </w:tc>
      </w:tr>
      <w:tr>
        <w:tc>
          <w:tcPr>
            <w:tcW w:type="dxa" w:w="2154"/>
          </w:tcPr>
          <w:p>
            <w:pPr>
              <w:spacing w:after="0"/>
              <w:jc w:val="left"/>
            </w:pPr>
            <w:r/>
            <w:r>
              <w:rPr>
                <w:sz w:val="17"/>
              </w:rPr>
              <w:t>원화 무위험금리</w:t>
            </w:r>
          </w:p>
        </w:tc>
        <w:tc>
          <w:tcPr>
            <w:tcW w:type="dxa" w:w="3515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국고채 3년 (ECOS, 20261027)</w:t>
            </w:r>
          </w:p>
        </w:tc>
        <w:tc>
          <w:tcPr>
            <w:tcW w:type="dxa" w:w="4082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3.758%</w:t>
            </w:r>
          </w:p>
        </w:tc>
      </w:tr>
      <w:tr>
        <w:tc>
          <w:tcPr>
            <w:tcW w:type="dxa" w:w="2154"/>
          </w:tcPr>
          <w:p>
            <w:pPr>
              <w:spacing w:after="0"/>
              <w:jc w:val="left"/>
            </w:pPr>
            <w:r/>
            <w:r>
              <w:rPr>
                <w:sz w:val="17"/>
              </w:rPr>
              <w:t>달러 무위험금리</w:t>
            </w:r>
          </w:p>
        </w:tc>
        <w:tc>
          <w:tcPr>
            <w:tcW w:type="dxa" w:w="3515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미 국채 3년 (FRED DGS3, 2026-10-26)</w:t>
            </w:r>
          </w:p>
        </w:tc>
        <w:tc>
          <w:tcPr>
            <w:tcW w:type="dxa" w:w="4082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4.79%</w:t>
            </w:r>
          </w:p>
        </w:tc>
      </w:tr>
      <w:tr>
        <w:tc>
          <w:tcPr>
            <w:tcW w:type="dxa" w:w="2154"/>
          </w:tcPr>
          <w:p>
            <w:pPr>
              <w:spacing w:after="0"/>
              <w:jc w:val="left"/>
            </w:pPr>
            <w:r/>
            <w:r>
              <w:rPr>
                <w:sz w:val="17"/>
              </w:rPr>
              <w:t>배당수익률</w:t>
            </w:r>
          </w:p>
        </w:tc>
        <w:tc>
          <w:tcPr>
            <w:tcW w:type="dxa" w:w="3515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가정값</w:t>
            </w:r>
          </w:p>
        </w:tc>
        <w:tc>
          <w:tcPr>
            <w:tcW w:type="dxa" w:w="4082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KOSPI200 1.5%, S&amp;P500 1.2% (민감도로 영향 확인)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515"/>
            <w:shd w:val="clear" w:color="auto" w:fill="1F3864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7"/>
              </w:rPr>
              <w:t>파라미터</w:t>
            </w:r>
          </w:p>
        </w:tc>
        <w:tc>
          <w:tcPr>
            <w:tcW w:type="dxa" w:w="3118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7"/>
              </w:rPr>
              <w:t>기본: 2014년 이후</w:t>
            </w:r>
          </w:p>
        </w:tc>
        <w:tc>
          <w:tcPr>
            <w:tcW w:type="dxa" w:w="3118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7"/>
              </w:rPr>
              <w:t>스트레스: 최근 1년</w:t>
            </w:r>
          </w:p>
        </w:tc>
      </w:tr>
      <w:tr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sz w:val="17"/>
              </w:rPr>
              <w:t>산출 기간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2014-08-04 ~ 2026-10-27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2025-10-28 ~ 2026-10-27</w:t>
            </w:r>
          </w:p>
        </w:tc>
      </w:tr>
      <w:tr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sz w:val="17"/>
              </w:rPr>
              <w:t>변동성 KOSPI200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24.2%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60.6%</w:t>
            </w:r>
          </w:p>
        </w:tc>
      </w:tr>
      <w:tr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sz w:val="17"/>
              </w:rPr>
              <w:t>변동성 S&amp;P500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17.5%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12.7%</w:t>
            </w:r>
          </w:p>
        </w:tc>
      </w:tr>
      <w:tr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sz w:val="17"/>
              </w:rPr>
              <w:t>변동성 원/달러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9.3%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10.3%</w:t>
            </w:r>
          </w:p>
        </w:tc>
      </w:tr>
      <w:tr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sz w:val="17"/>
              </w:rPr>
              <w:t>상관 KOSPI200–S&amp;P500 (주간)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0.530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0.372</w:t>
            </w:r>
          </w:p>
        </w:tc>
      </w:tr>
      <w:tr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sz w:val="17"/>
              </w:rPr>
              <w:t>상관 S&amp;P500–원/달러 (주간, 콴토)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-0.315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-0.284</w:t>
            </w:r>
          </w:p>
        </w:tc>
      </w:tr>
    </w:tbl>
    <w:p>
      <w:pPr>
        <w:spacing w:after="40"/>
      </w:pPr>
    </w:p>
    <w:p>
      <w:pPr>
        <w:pStyle w:val="ListBullet"/>
        <w:spacing w:after="20"/>
      </w:pPr>
      <w:r>
        <w:rPr>
          <w:sz w:val="19"/>
        </w:rPr>
        <w:t>상관계수는 주간 수익률로 구했습니다. 한국 장은 미국 장보다 먼저 닫혀 같은 날짜의 일간 수익률이 서로 다른 정보를 담기 때문에, 최근 1년 일간 상관은 0.145로 주간(0.372)보다 크게 낮게 나왔습니다(비동시성).</w:t>
      </w:r>
    </w:p>
    <w:p>
      <w:pPr>
        <w:pStyle w:val="ListBullet"/>
        <w:spacing w:after="20"/>
      </w:pPr>
      <w:r>
        <w:rPr>
          <w:sz w:val="19"/>
        </w:rPr>
        <w:t>변동성은 일간 로그수익률의 표준편차 × √252입니다. 실무에서는 상장 옵션의 내재변동성으로 맞추지만(Calibration), 내재변동성 자료를 구하지 못해 과거 변동성을 두 기간으로 나눠 시나리오로 비교했습니다.</w:t>
      </w:r>
    </w:p>
    <w:p>
      <w:pPr>
        <w:keepNext/>
        <w:spacing w:after="60" w:before="160"/>
        <w:pBdr>
          <w:bottom w:val="single" w:sz="6" w:space="1" w:color="1F3864"/>
        </w:pBdr>
      </w:pPr>
      <w:r>
        <w:rPr>
          <w:b/>
          <w:i w:val="0"/>
          <w:color w:val="1F3864"/>
          <w:sz w:val="24"/>
        </w:rPr>
        <w:t>4. 엔진 검증 (가격검증 1단계)</w:t>
      </w:r>
    </w:p>
    <w:p>
      <w:r>
        <w:rPr>
          <w:b w:val="0"/>
          <w:i w:val="0"/>
        </w:rPr>
        <w:t>상품을 평가하기 전에 같은 경로 생성기가 해석해가 있는 상품의 값을 맞히는지 확인했습니다(최근 1년 파라미터, 경로 10만 개).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701"/>
            <w:shd w:val="clear" w:color="auto" w:fill="1F3864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6"/>
              </w:rPr>
              <w:t>자산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선도 해석해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선도 MC (±SE)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3년 ATM 콜 해석해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3년 ATM 콜 MC (±SE)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차이 / SE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KOSPI200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1.0701</w:t>
            </w:r>
          </w:p>
        </w:tc>
        <w:tc>
          <w:tcPr>
            <w:tcW w:type="dxa" w:w="1928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1.0705 (±0.0040)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0.4021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0.4027 (±0.0037)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+0.14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S&amp;P500(콴토)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1.1262</w:t>
            </w:r>
          </w:p>
        </w:tc>
        <w:tc>
          <w:tcPr>
            <w:tcW w:type="dxa" w:w="1928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1.1263 (±0.0002)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0.1514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0.1515 (±0.0003)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+0.29</w:t>
            </w:r>
          </w:p>
        </w:tc>
      </w:tr>
    </w:tbl>
    <w:p>
      <w:pPr>
        <w:spacing w:after="40"/>
      </w:pPr>
    </w:p>
    <w:p>
      <w:pPr>
        <w:pStyle w:val="ListBullet"/>
        <w:spacing w:after="20"/>
      </w:pPr>
      <w:r>
        <w:rPr>
          <w:sz w:val="19"/>
        </w:rPr>
        <w:t>S&amp;P500 콜은 원화 측도의 실효 배당률(r_KRW − 콴토 조정 후 기대수익률)로 Black-Scholes 해석해를 계산해 콴토 drift까지 함께 검증했습니다.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46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nverg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 w:val="0"/>
          <w:color w:val="595959"/>
          <w:sz w:val="16"/>
        </w:rPr>
        <w:t>경로 수에 따른 가격 수렴. 표준오차가 경로 수의 제곱근에 반비례해 줄어듭니다.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268"/>
            <w:shd w:val="clear" w:color="auto" w:fill="1F3864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6"/>
              </w:rPr>
              <w:t>경로 수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가격 (액면 %)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표준오차 (%p)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2,000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100.099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0.330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5,000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99.917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0.210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10,000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100.067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0.146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20,000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99.984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0.104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50,000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99.958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0.066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100,000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99.961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0.046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200,000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99.994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0.033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400,000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99.994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0.023</w:t>
            </w:r>
          </w:p>
        </w:tc>
      </w:tr>
    </w:tbl>
    <w:p>
      <w:pPr>
        <w:spacing w:after="40"/>
      </w:pPr>
    </w:p>
    <w:p>
      <w:pPr>
        <w:keepNext/>
        <w:spacing w:after="60" w:before="160"/>
        <w:pBdr>
          <w:bottom w:val="single" w:sz="6" w:space="1" w:color="1F3864"/>
        </w:pBdr>
      </w:pPr>
      <w:r>
        <w:rPr>
          <w:b/>
          <w:i w:val="0"/>
          <w:color w:val="1F3864"/>
          <w:sz w:val="24"/>
        </w:rPr>
        <w:t>5. 평가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628"/>
            <w:shd w:val="clear" w:color="auto" w:fill="1F3864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3061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7"/>
              </w:rPr>
              <w:t>기본: 2014년 이후 변동성</w:t>
            </w:r>
          </w:p>
        </w:tc>
        <w:tc>
          <w:tcPr>
            <w:tcW w:type="dxa" w:w="3061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7"/>
              </w:rPr>
              <w:t>스트레스: 최근 1년 변동성</w:t>
            </w:r>
          </w:p>
        </w:tc>
      </w:tr>
      <w:tr>
        <w:tc>
          <w:tcPr>
            <w:tcW w:type="dxa" w:w="3628"/>
            <w:shd w:val="clear" w:color="auto" w:fill="DEEAF6"/>
          </w:tcPr>
          <w:p>
            <w:pPr>
              <w:spacing w:after="0"/>
              <w:jc w:val="left"/>
            </w:pPr>
            <w:r/>
            <w:r>
              <w:rPr>
                <w:sz w:val="17"/>
              </w:rPr>
              <w:t>공정 쿠폰 (연)</w:t>
            </w:r>
          </w:p>
        </w:tc>
        <w:tc>
          <w:tcPr>
            <w:tcW w:type="dxa" w:w="3061"/>
            <w:shd w:val="clear" w:color="auto" w:fill="DEEAF6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8.07%</w:t>
            </w:r>
          </w:p>
        </w:tc>
        <w:tc>
          <w:tcPr>
            <w:tcW w:type="dxa" w:w="3061"/>
            <w:shd w:val="clear" w:color="auto" w:fill="DEEAF6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36.77%</w:t>
            </w:r>
          </w:p>
        </w:tc>
      </w:tr>
      <w:tr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sz w:val="17"/>
              </w:rPr>
              <w:t>가격 표준오차 (공정 쿠폰에서)</w:t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0.033%p</w:t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0.100%p</w:t>
            </w:r>
          </w:p>
        </w:tc>
      </w:tr>
      <w:tr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sz w:val="17"/>
              </w:rPr>
              <w:t>낙인 확률</w:t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10.7%</w:t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65.0%</w:t>
            </w:r>
          </w:p>
        </w:tc>
      </w:tr>
      <w:tr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sz w:val="17"/>
              </w:rPr>
              <w:t>원금손실 확률</w:t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6.1%</w:t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26.5%</w:t>
            </w:r>
          </w:p>
        </w:tc>
      </w:tr>
      <w:tr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sz w:val="17"/>
              </w:rPr>
              <w:t>손실 시 평균 손실률</w:t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51.0%</w:t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71.0%</w:t>
            </w:r>
          </w:p>
        </w:tc>
      </w:tr>
      <w:tr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sz w:val="17"/>
              </w:rPr>
              <w:t>6개월 쿠폰 상환 확률</w:t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65.4%</w:t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50.0%</w:t>
            </w:r>
          </w:p>
        </w:tc>
      </w:tr>
      <w:tr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sz w:val="17"/>
              </w:rPr>
              <w:t>1년 쿠폰 상환 확률</w:t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8.9%</w:t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9.6%</w:t>
            </w:r>
          </w:p>
        </w:tc>
      </w:tr>
      <w:tr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sz w:val="17"/>
              </w:rPr>
              <w:t>1.5년 쿠폰 상환 확률</w:t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6.3%</w:t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6.0%</w:t>
            </w:r>
          </w:p>
        </w:tc>
      </w:tr>
      <w:tr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sz w:val="17"/>
              </w:rPr>
              <w:t>2년 쿠폰 상환 확률</w:t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2.8%</w:t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3.0%</w:t>
            </w:r>
          </w:p>
        </w:tc>
      </w:tr>
      <w:tr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sz w:val="17"/>
              </w:rPr>
              <w:t>2.5년 쿠폰 상환 확률</w:t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2.9%</w:t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2.6%</w:t>
            </w:r>
          </w:p>
        </w:tc>
      </w:tr>
      <w:tr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sz w:val="17"/>
              </w:rPr>
              <w:t>3년(만기 수익) 쿠폰 상환 확률</w:t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7.6%</w:t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2.2%</w:t>
            </w:r>
          </w:p>
        </w:tc>
      </w:tr>
    </w:tbl>
    <w:p>
      <w:pPr>
        <w:spacing w:after="40"/>
      </w:pPr>
    </w:p>
    <w:p>
      <w:pPr>
        <w:pStyle w:val="ListBullet"/>
        <w:spacing w:after="20"/>
      </w:pPr>
      <w:r>
        <w:rPr>
          <w:sz w:val="19"/>
        </w:rPr>
        <w:t>공정 쿠폰은 발행사 마진·헤지 비용이 없을 때 가격이 액면과 같아지는 쿠폰입니다. 실제 발행 쿠폰은 여기서 마진만큼 낮아집니다.</w:t>
      </w:r>
    </w:p>
    <w:p>
      <w:pPr>
        <w:pStyle w:val="ListBullet"/>
        <w:spacing w:after="20"/>
      </w:pPr>
      <w:r>
        <w:rPr>
          <w:sz w:val="19"/>
        </w:rPr>
        <w:t>최근 1년 KOSPI200 변동성이 60%를 넘는 극단 구간이라, 이 값을 3년 내내 유지한다고 보면 낙인 확률이 65%에 이르고 공정 쿠폰이 4배 넘게 올라갑니다. 평가에서 가장 큰 판단은 모형보다 어떤 기간·어떤 종류의 변동성을 넣느냐였습니다.</w:t>
      </w:r>
    </w:p>
    <w:p>
      <w:pPr>
        <w:keepNext/>
        <w:spacing w:after="60" w:before="160"/>
        <w:pBdr>
          <w:bottom w:val="single" w:sz="6" w:space="1" w:color="1F3864"/>
        </w:pBdr>
      </w:pPr>
      <w:r>
        <w:rPr>
          <w:b/>
          <w:i w:val="0"/>
          <w:color w:val="1F3864"/>
          <w:sz w:val="24"/>
        </w:rPr>
        <w:t>6. 민감도 (기본 시나리오)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608"/>
            <w:shd w:val="clear" w:color="auto" w:fill="1F3864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7"/>
              </w:rPr>
              <w:t>입력 변화</w:t>
            </w:r>
          </w:p>
        </w:tc>
        <w:tc>
          <w:tcPr>
            <w:tcW w:type="dxa" w:w="2154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7"/>
              </w:rPr>
              <w:t>가격 변화 (액면 대비)</w:t>
            </w:r>
          </w:p>
        </w:tc>
        <w:tc>
          <w:tcPr>
            <w:tcW w:type="dxa" w:w="4989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7"/>
              </w:rPr>
              <w:t>해석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/>
            <w:r>
              <w:rPr>
                <w:sz w:val="17"/>
              </w:rPr>
              <w:t>KOSPI200 +1%</w:t>
            </w:r>
          </w:p>
        </w:tc>
        <w:tc>
          <w:tcPr>
            <w:tcW w:type="dxa" w:w="2154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+0.185%</w:t>
            </w:r>
          </w:p>
        </w:tc>
        <w:tc>
          <w:tcPr>
            <w:tcW w:type="dxa" w:w="4989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지수 상승 시 조기상환 가능성↑ → 투자자 가치↑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/>
            <w:r>
              <w:rPr>
                <w:sz w:val="17"/>
              </w:rPr>
              <w:t>S&amp;P500 +1%</w:t>
            </w:r>
          </w:p>
        </w:tc>
        <w:tc>
          <w:tcPr>
            <w:tcW w:type="dxa" w:w="2154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+0.012%</w:t>
            </w:r>
          </w:p>
        </w:tc>
        <w:tc>
          <w:tcPr>
            <w:tcW w:type="dxa" w:w="4989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변동성이 낮아 낮은 쪽이 되는 경우가 적음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/>
            <w:r>
              <w:rPr>
                <w:sz w:val="17"/>
              </w:rPr>
              <w:t>KOSPI200 감마 (±1%)</w:t>
            </w:r>
          </w:p>
        </w:tc>
        <w:tc>
          <w:tcPr>
            <w:tcW w:type="dxa" w:w="2154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-0.0202%</w:t>
            </w:r>
          </w:p>
        </w:tc>
        <w:tc>
          <w:tcPr>
            <w:tcW w:type="dxa" w:w="4989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0에 가까움 (몬테카를로 잡음 수준)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/>
            <w:r>
              <w:rPr>
                <w:sz w:val="17"/>
              </w:rPr>
              <w:t>KOSPI200 변동성 +1%p</w:t>
            </w:r>
          </w:p>
        </w:tc>
        <w:tc>
          <w:tcPr>
            <w:tcW w:type="dxa" w:w="2154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-0.525%</w:t>
            </w:r>
          </w:p>
        </w:tc>
        <w:tc>
          <w:tcPr>
            <w:tcW w:type="dxa" w:w="4989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투자자는 변동성 매도 포지션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/>
            <w:r>
              <w:rPr>
                <w:sz w:val="17"/>
              </w:rPr>
              <w:t>S&amp;P500 변동성 +1%p</w:t>
            </w:r>
          </w:p>
        </w:tc>
        <w:tc>
          <w:tcPr>
            <w:tcW w:type="dxa" w:w="2154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-0.104%</w:t>
            </w:r>
          </w:p>
        </w:tc>
        <w:tc>
          <w:tcPr>
            <w:tcW w:type="dxa" w:w="4989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/>
            <w:r>
              <w:rPr>
                <w:sz w:val="17"/>
              </w:rPr>
              <w:t>두 지수 변동성 +1%p</w:t>
            </w:r>
          </w:p>
        </w:tc>
        <w:tc>
          <w:tcPr>
            <w:tcW w:type="dxa" w:w="2154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-0.628%</w:t>
            </w:r>
          </w:p>
        </w:tc>
        <w:tc>
          <w:tcPr>
            <w:tcW w:type="dxa" w:w="4989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가장 큰 위험 요인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/>
            <w:r>
              <w:rPr>
                <w:sz w:val="17"/>
              </w:rPr>
              <w:t>상관 +0.05</w:t>
            </w:r>
          </w:p>
        </w:tc>
        <w:tc>
          <w:tcPr>
            <w:tcW w:type="dxa" w:w="2154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+0.007%</w:t>
            </w:r>
          </w:p>
        </w:tc>
        <w:tc>
          <w:tcPr>
            <w:tcW w:type="dxa" w:w="4989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이 구조에서는 작음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/>
            <w:r>
              <w:rPr>
                <w:sz w:val="17"/>
              </w:rPr>
              <w:t>원화 금리 +1bp</w:t>
            </w:r>
          </w:p>
        </w:tc>
        <w:tc>
          <w:tcPr>
            <w:tcW w:type="dxa" w:w="2154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-0.0068%</w:t>
            </w:r>
          </w:p>
        </w:tc>
        <w:tc>
          <w:tcPr>
            <w:tcW w:type="dxa" w:w="4989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016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01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 w:val="0"/>
          <w:color w:val="595959"/>
          <w:sz w:val="16"/>
        </w:rPr>
        <w:t>입력값에 따른 공정 쿠폰 (경로 5만 개, 공정 쿠폰의 몬테카를로 오차 약 ±0.1%p)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val="clear" w:color="auto" w:fill="1F3864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6"/>
              </w:rPr>
              <w:t>KOSPI200 배당수익률</w:t>
            </w:r>
          </w:p>
        </w:tc>
        <w:tc>
          <w:tcPr>
            <w:tcW w:type="dxa" w:w="1644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0.0%</w:t>
            </w:r>
          </w:p>
        </w:tc>
        <w:tc>
          <w:tcPr>
            <w:tcW w:type="dxa" w:w="1644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1.0%</w:t>
            </w:r>
          </w:p>
        </w:tc>
        <w:tc>
          <w:tcPr>
            <w:tcW w:type="dxa" w:w="1644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1.5%</w:t>
            </w:r>
          </w:p>
        </w:tc>
        <w:tc>
          <w:tcPr>
            <w:tcW w:type="dxa" w:w="1644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2.0%</w:t>
            </w:r>
          </w:p>
        </w:tc>
        <w:tc>
          <w:tcPr>
            <w:tcW w:type="dxa" w:w="1644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3.0%</w:t>
            </w:r>
          </w:p>
        </w:tc>
      </w:tr>
      <w:tr>
        <w:tc>
          <w:tcPr>
            <w:tcW w:type="dxa" w:w="1644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공정 쿠폰 (연)</w:t>
            </w:r>
          </w:p>
        </w:tc>
        <w:tc>
          <w:tcPr>
            <w:tcW w:type="dxa" w:w="1644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7.40%</w:t>
            </w:r>
          </w:p>
        </w:tc>
        <w:tc>
          <w:tcPr>
            <w:tcW w:type="dxa" w:w="1644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7.84%</w:t>
            </w:r>
          </w:p>
        </w:tc>
        <w:tc>
          <w:tcPr>
            <w:tcW w:type="dxa" w:w="1644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8.05%</w:t>
            </w:r>
          </w:p>
        </w:tc>
        <w:tc>
          <w:tcPr>
            <w:tcW w:type="dxa" w:w="1644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8.32%</w:t>
            </w:r>
          </w:p>
        </w:tc>
        <w:tc>
          <w:tcPr>
            <w:tcW w:type="dxa" w:w="1644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8.84%</w:t>
            </w:r>
          </w:p>
        </w:tc>
      </w:tr>
    </w:tbl>
    <w:p>
      <w:pPr>
        <w:spacing w:after="40"/>
      </w:pPr>
    </w:p>
    <w:p>
      <w:pPr>
        <w:pStyle w:val="ListBullet"/>
        <w:spacing w:after="20"/>
      </w:pPr>
      <w:r>
        <w:rPr>
          <w:sz w:val="19"/>
        </w:rPr>
        <w:t>상관을 0에서 0.8까지 바꿔도 공정 쿠폰 변화가 0.13%p 안이라 몬테카를로 오차와 비슷한 크기였습니다. KOSPI200 변동성이 S&amp;P500보다 커서 대부분의 경로에서 KOSPI200이 낮은 쪽이 되기 때문으로 해석했습니다.</w:t>
      </w:r>
    </w:p>
    <w:p>
      <w:pPr>
        <w:pStyle w:val="ListBullet"/>
        <w:spacing w:after="20"/>
      </w:pPr>
      <w:r>
        <w:rPr>
          <w:sz w:val="19"/>
        </w:rPr>
        <w:t>배당수익률은 가정값이라 따로 보였습니다. 0~3% 범위에서 공정 쿠폰이 약 1.4%p 움직여, 실제 평가에서는 배당 선물·추정치를 입력으로 써야 합니다.</w:t>
      </w:r>
    </w:p>
    <w:p>
      <w:pPr>
        <w:keepNext/>
        <w:spacing w:after="60" w:before="160"/>
        <w:pBdr>
          <w:bottom w:val="single" w:sz="6" w:space="1" w:color="1F3864"/>
        </w:pBdr>
      </w:pPr>
      <w:r>
        <w:rPr>
          <w:b/>
          <w:i w:val="0"/>
          <w:color w:val="1F3864"/>
          <w:sz w:val="24"/>
        </w:rPr>
        <w:t>7. 과거 실제 경로와의 비교 (가격검증 2단계)</w:t>
      </w:r>
    </w:p>
    <w:p>
      <w:r>
        <w:rPr>
          <w:b w:val="0"/>
          <w:i w:val="0"/>
        </w:rPr>
        <w:t>2014-08-04부터 2023-10-27까지 KOSPI200 거래일마다 같은 상품을 발행했다고 보고, 실제 종가로 상환 시점을 계산했습니다(2,271개, 서로 겹치는 3년 구간, 환율 효과 제외, 쿠폰은 기본 시나리오 공정 쿠폰).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3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dee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3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928"/>
            <w:shd w:val="clear" w:color="auto" w:fill="1F3864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5"/>
              </w:rPr>
            </w:r>
          </w:p>
        </w:tc>
        <w:tc>
          <w:tcPr>
            <w:tcW w:type="dxa" w:w="1020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5"/>
              </w:rPr>
              <w:t>6개월</w:t>
            </w:r>
          </w:p>
        </w:tc>
        <w:tc>
          <w:tcPr>
            <w:tcW w:type="dxa" w:w="964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5"/>
              </w:rPr>
              <w:t>1년</w:t>
            </w:r>
          </w:p>
        </w:tc>
        <w:tc>
          <w:tcPr>
            <w:tcW w:type="dxa" w:w="964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5"/>
              </w:rPr>
              <w:t>1.5년</w:t>
            </w:r>
          </w:p>
        </w:tc>
        <w:tc>
          <w:tcPr>
            <w:tcW w:type="dxa" w:w="964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5"/>
              </w:rPr>
              <w:t>2년</w:t>
            </w:r>
          </w:p>
        </w:tc>
        <w:tc>
          <w:tcPr>
            <w:tcW w:type="dxa" w:w="964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5"/>
              </w:rPr>
              <w:t>2.5년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5"/>
              </w:rPr>
              <w:t>3년(만기 수익)</w:t>
            </w:r>
          </w:p>
        </w:tc>
        <w:tc>
          <w:tcPr>
            <w:tcW w:type="dxa" w:w="1020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5"/>
              </w:rPr>
              <w:t>원금손실</w:t>
            </w:r>
          </w:p>
        </w:tc>
      </w:tr>
      <w:tr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sz w:val="15"/>
              </w:rPr>
              <w:t>몬테카를로 (기본)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65.4%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8.9%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6.3%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2.8%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2.9%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7.6%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6.1%</w:t>
            </w:r>
          </w:p>
        </w:tc>
      </w:tr>
      <w:tr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sz w:val="15"/>
              </w:rPr>
              <w:t>몬테카를로 (스트레스)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50.0%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9.6%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6.0%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3.0%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2.6%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2.2%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26.5%</w:t>
            </w:r>
          </w:p>
        </w:tc>
      </w:tr>
      <w:tr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sz w:val="15"/>
              </w:rPr>
              <w:t>과거 실제 경로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85.8%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5.0%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4.9%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0.9%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2.3%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1.1%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0.0%</w:t>
            </w:r>
          </w:p>
        </w:tc>
      </w:tr>
    </w:tbl>
    <w:p>
      <w:pPr>
        <w:spacing w:after="40"/>
      </w:pPr>
    </w:p>
    <w:p>
      <w:pPr>
        <w:pStyle w:val="ListBullet"/>
        <w:spacing w:after="20"/>
      </w:pPr>
      <w:r>
        <w:rPr>
          <w:sz w:val="19"/>
        </w:rPr>
        <w:t>과거 경로는 6개월 상환이 더 많고 손실이 없었습니다. 위험중립 확률은 가격을 매기기 위한 확률이라 실제 빈도와 같을 이유가 없고, 과거 표본은 서로 겹치는 3년 구간이라 독립 관측 수는 실제로 3~4개 수준입니다. 결과 차이를 모형 오류로 보지 않고 두 확률의 성격 차이로 기록했습니다.</w:t>
      </w:r>
    </w:p>
    <w:p>
      <w:pPr>
        <w:pStyle w:val="ListBullet"/>
        <w:spacing w:after="20"/>
      </w:pPr>
      <w:r>
        <w:rPr>
          <w:sz w:val="19"/>
        </w:rPr>
        <w:t>과거 경로의 평균 연환산 수익률은 8.18%로 공정 쿠폰과 비슷했습니다(대부분 6개월 조기상환).</w:t>
      </w:r>
    </w:p>
    <w:p>
      <w:pPr>
        <w:keepNext/>
        <w:spacing w:after="60" w:before="160"/>
        <w:pBdr>
          <w:bottom w:val="single" w:sz="6" w:space="1" w:color="1F3864"/>
        </w:pBdr>
      </w:pPr>
      <w:r>
        <w:rPr>
          <w:b/>
          <w:i w:val="0"/>
          <w:color w:val="1F3864"/>
          <w:sz w:val="24"/>
        </w:rPr>
        <w:t>8. 한계와 다음 단계</w:t>
      </w:r>
    </w:p>
    <w:p>
      <w:pPr>
        <w:pStyle w:val="ListBullet"/>
        <w:spacing w:after="20"/>
      </w:pPr>
      <w:r>
        <w:rPr>
          <w:sz w:val="19"/>
        </w:rPr>
        <w:t>변동성: 내재변동성·변동성 스마일 대신 상수 과거 변동성을 썼습니다. 다음 단계는 KOSPI200·S&amp;P500 옵션 내재변동성으로 Calibration 하는 것입니다.</w:t>
      </w:r>
    </w:p>
    <w:p>
      <w:pPr>
        <w:pStyle w:val="ListBullet"/>
        <w:spacing w:after="20"/>
      </w:pPr>
      <w:r>
        <w:rPr>
          <w:sz w:val="19"/>
        </w:rPr>
        <w:t>배당·금리: 배당수익률은 가정값, 금리는 3년 만기 단일 금리(평탄 커브)입니다.</w:t>
      </w:r>
    </w:p>
    <w:p>
      <w:pPr>
        <w:pStyle w:val="ListBullet"/>
        <w:spacing w:after="20"/>
      </w:pPr>
      <w:r>
        <w:rPr>
          <w:sz w:val="19"/>
        </w:rPr>
        <w:t>모형: 상수 변동성 GBM이라 급락 구간의 변동성 상승(레버리지 효과)을 반영하지 못해 낙인 확률을 낮게 볼 수 있습니다. 국지변동성·확률변동성 모형 비교가 다음 과제입니다.</w:t>
      </w:r>
    </w:p>
    <w:p>
      <w:pPr>
        <w:pStyle w:val="ListBullet"/>
        <w:spacing w:after="20"/>
      </w:pPr>
      <w:r>
        <w:rPr>
          <w:sz w:val="19"/>
        </w:rPr>
        <w:t>데이터: KOSPI200 일별 데이터가 2014-08부터라 과거 경로 비교에 2008년 같은 급락 구간이 없습니다. 휴장일이 달라 S&amp;P500은 직전 종가로 채웠습니다.</w:t>
      </w:r>
    </w:p>
    <w:p>
      <w:pPr>
        <w:keepNext/>
        <w:spacing w:after="60" w:before="160"/>
        <w:pBdr>
          <w:bottom w:val="single" w:sz="6" w:space="1" w:color="1F3864"/>
        </w:pBdr>
      </w:pPr>
      <w:r>
        <w:rPr>
          <w:b/>
          <w:i w:val="0"/>
          <w:color w:val="1F3864"/>
          <w:sz w:val="24"/>
        </w:rPr>
        <w:t>9. 재현 방법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041"/>
            <w:shd w:val="clear" w:color="auto" w:fill="1F3864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7"/>
              </w:rPr>
              <w:t>파일</w:t>
            </w:r>
          </w:p>
        </w:tc>
        <w:tc>
          <w:tcPr>
            <w:tcW w:type="dxa" w:w="7710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sz w:val="17"/>
              </w:rPr>
              <w:t>data.py</w:t>
            </w:r>
          </w:p>
        </w:tc>
        <w:tc>
          <w:tcPr>
            <w:tcW w:type="dxa" w:w="7710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시장데이터 수집 (네이버·Yahoo·ECOS·FRED, KRX 요청 없음) → data/</w:t>
            </w:r>
          </w:p>
        </w:tc>
      </w:tr>
      <w:tr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sz w:val="17"/>
              </w:rPr>
              <w:t>core.py</w:t>
            </w:r>
          </w:p>
        </w:tc>
        <w:tc>
          <w:tcPr>
            <w:tcW w:type="dxa" w:w="7710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몬테카를로 엔진(상관 GBM, 대조변수, 콴토), 공정 쿠폰, 해석해 검증</w:t>
            </w:r>
          </w:p>
        </w:tc>
      </w:tr>
      <w:tr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sz w:val="17"/>
              </w:rPr>
              <w:t>run.py</w:t>
            </w:r>
          </w:p>
        </w:tc>
        <w:tc>
          <w:tcPr>
            <w:tcW w:type="dxa" w:w="7710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파라미터 산출 → 엔진 검증 → 수렴 → 민감도 → 과거 경로 → results/results.json, 그림</w:t>
            </w:r>
          </w:p>
        </w:tc>
      </w:tr>
      <w:tr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sz w:val="17"/>
              </w:rPr>
              <w:t>build_report.py</w:t>
            </w:r>
          </w:p>
        </w:tc>
        <w:tc>
          <w:tcPr>
            <w:tcW w:type="dxa" w:w="7710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이 보고서 생성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python data.py → python run.py (약 4분) → python build_report.py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