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3864"/>
          <w:sz w:val="32"/>
        </w:rPr>
        <w:t>MACD·RSI 스윙 전략 백테스트 보고서</w:t>
      </w:r>
    </w:p>
    <w:p>
      <w:pPr>
        <w:spacing w:after="80"/>
      </w:pPr>
      <w:r>
        <w:rPr>
          <w:b w:val="0"/>
          <w:i w:val="0"/>
          <w:color w:val="595959"/>
          <w:sz w:val="17"/>
        </w:rPr>
        <w:t>MACD 골든크로스(매매법 1) · RSI 하락 다이버전스 + MACD 재골든크로스(매매법 2) | 한국 주식 2000~2026-10-22, 상장폐지 종목 포함 | 포트폴리오용 검증이며 투자 권유·실매매 아님</w:t>
      </w:r>
    </w:p>
    <w:p>
      <w:pPr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1. 요약</w:t>
      </w:r>
    </w:p>
    <w:p>
      <w:pPr>
        <w:pStyle w:val="ListBullet"/>
        <w:spacing w:after="20"/>
      </w:pPr>
      <w:r>
        <w:rPr>
          <w:sz w:val="19"/>
        </w:rPr>
        <w:t>결론: 두 매매법 모두 거래비용 후 우위가 확인되지 않았다. 매매법 1은 CAGR -10.6%, MDD -96%, 알파 t값 -5.6로 일관되게 손실이고, 매매법 2는 CAGR -3.0%(개발기간 2000~2012는 +1.1%, 검증기간 2013~2026은 -6.8%)로 사실상 0이며 검증기간에 악화됐다. KOSPI는 같은 기간 CAGR 6.4%.</w:t>
      </w:r>
    </w:p>
    <w:p>
      <w:pPr>
        <w:pStyle w:val="ListBullet"/>
        <w:spacing w:after="20"/>
      </w:pPr>
      <w:r>
        <w:rPr>
          <w:sz w:val="19"/>
        </w:rPr>
        <w:t>우연 검증: 같은 종목·같은 해에서 진입일만 무작위로 바꾸고 손절·익절 규칙은 그대로 둔 10회 대조에서 신호 진입이 우연보다 낫지 않았다. 거래당 평균 R은 매매법 1 -0.029 대 무작위 -0.021±0.006, 매매법 2 -0.009 대 -0.005±0.005. 신호 자체의 우위는 없다.</w:t>
      </w:r>
    </w:p>
    <w:p>
      <w:pPr>
        <w:pStyle w:val="ListBullet"/>
        <w:spacing w:after="20"/>
      </w:pPr>
      <w:r>
        <w:rPr>
          <w:sz w:val="19"/>
        </w:rPr>
        <w:t>강건성: 비용 2배(CAGR -13.3% / -11.0%), 기간 3분할, 파라미터 10종 변경(RSI 기준선·과열선·목표배수·손절 기준·손절폭 상한·유동성) 모두에서 CAGR이 음수 또는 0 부근이었다(매매법 1 −5.1%~−13.1%, 매매법 2 −4.2%~−0.7%).</w:t>
      </w:r>
    </w:p>
    <w:p>
      <w:pPr>
        <w:pStyle w:val="ListBullet"/>
        <w:spacing w:after="20"/>
      </w:pPr>
      <w:r>
        <w:rPr>
          <w:sz w:val="19"/>
        </w:rPr>
        <w:t>종목 선택 기준을 바꿔도 결론 동일: 같은 날 신호가 자리보다 많을 때의 선택 기준(거래대금 큰 순·작은 순·무작위 10회·종목코드 순)과 동시 보유 한도(20→60종목, 한도 없음·동일비중)를 바꿔도 세 가지 모두 CAGR이 음수였다(5장 ⑥).</w:t>
      </w:r>
    </w:p>
    <w:p>
      <w:pPr>
        <w:pStyle w:val="ListBullet"/>
        <w:spacing w:after="20"/>
      </w:pPr>
      <w:r>
        <w:rPr>
          <w:sz w:val="19"/>
        </w:rPr>
        <w:t>비용 전에는 우위가 거의 없고, 비용이 그 작은 우위를 지운다: 비용을 0으로 놓은 거래당 평균 R은 매매법 1 +0.029, 매매법 2 +0.058(0 부근)이고, 비용 반영 후 -0.029 / -0.009이다(손절폭 약 10% 기준 왕복 비용이 약 0.06R). 승률은 34%·32%다. 여기에 자본 제약(동시 20종목)이 겹쳐 포트폴리오 손실은 거래 평균보다 크다(5장 ①).</w:t>
      </w:r>
    </w:p>
    <w:p>
      <w:pPr>
        <w:pStyle w:val="ListBullet"/>
        <w:spacing w:after="20"/>
      </w:pPr>
      <w:r>
        <w:rPr>
          <w:sz w:val="19"/>
        </w:rPr>
        <w:t>미국(S&amp;P500 현재 구성종목, 생존편향) 참고 결과는 매매법 1이 CAGR 8.1%로 SPY(10.4%)보다 낮고, 생존편향으로 부풀려진 값이므로 위 한국 결론을 뒤집지 못한다.</w:t>
      </w:r>
    </w:p>
    <w:p>
      <w:pPr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2. 전략 규칙 (구현 정의)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391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정의 (모두 종가 신호 → 다음 거래일 시가 체결)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지표</w:t>
            </w:r>
          </w:p>
        </w:tc>
        <w:tc>
          <w:tcPr>
            <w:tcW w:type="dxa" w:w="839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MACD(12,26,9), RSI(14, Wilder). 일봉, 수정주가.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 1 진입</w:t>
            </w:r>
          </w:p>
        </w:tc>
        <w:tc>
          <w:tcPr>
            <w:tcW w:type="dxa" w:w="839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MACD 골든크로스일 RSI 50 이상 70 미만이면 진입. RSI&lt;50이면 보류(MACD 정배열 유지 중 RSI가 50을 상향 돌파하면 진입, 최대 20일). RSI≥70이면 보류(정배열 유지 + RSI가 50~56에서 반등하면 진입, 최대 40일).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 2 진입</w:t>
            </w:r>
          </w:p>
        </w:tc>
        <w:tc>
          <w:tcPr>
            <w:tcW w:type="dxa" w:w="839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스윙 고점(좌우 5일 최고가, 우측 5일 확인 후 사용)이 직전 고점보다 높은데 RSI는 낮은 하락 다이버전스(고점 간격 5~60일) 발생 → 가격이 다이버전스 고점의 85% 아래로 무너지지 않고 40일 안에 MACD가 데드 후 다시 골든크로스하면 진입. RSI 수준 무관.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손절</w:t>
            </w:r>
          </w:p>
        </w:tc>
        <w:tc>
          <w:tcPr>
            <w:tcW w:type="dxa" w:w="839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신호일 포함 직전 10일 최저가. 종가 대비 손절폭이 3% 미만이거나 15% 초과면 신호 제외. 시가가 손절가 이하면 진입 안 함.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 1 청산</w:t>
            </w:r>
          </w:p>
        </w:tc>
        <w:tc>
          <w:tcPr>
            <w:tcW w:type="dxa" w:w="839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손절폭(R)의 2배(2R) 도달 시 절반 익절, 이후 손절선을 진입가로 상향. 잔량은 MACD 데드크로스·RSI≤50·본전 이탈 중 먼저 오는 것(신호는 종가 기준 → 다음 날 시가).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 2 청산</w:t>
            </w:r>
          </w:p>
        </w:tc>
        <w:tc>
          <w:tcPr>
            <w:tcW w:type="dxa" w:w="839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2R 도달 시 전량 익절. 도달 전 MACD 데드크로스면 다음 날 시가에 전량 매도. 손절 동시 도달일은 손절 우선.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포트폴리오</w:t>
            </w:r>
          </w:p>
        </w:tc>
        <w:tc>
          <w:tcPr>
            <w:tcW w:type="dxa" w:w="839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거래당 위험 = 자산의 0.5%, 종목당 최대 10%, 동시 보유 최대 20종목, 레버리지 없음, 같은 날 신호가 많으면 20일 거래대금 큰 순. 유휴 현금 수익률 0%(보수적).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거래비용</w:t>
            </w:r>
          </w:p>
        </w:tc>
        <w:tc>
          <w:tcPr>
            <w:tcW w:type="dxa" w:w="839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수수료 0.015% + 슬리피지 0.10% (편도) + 매도 시 증권거래세·농특세(연도·시장별, 아래). 비용 2배 시나리오는 모두 2배.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체결 제약</w:t>
            </w:r>
          </w:p>
        </w:tc>
        <w:tc>
          <w:tcPr>
            <w:tcW w:type="dxa" w:w="839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거래량 0(거래정지)인 날은 매수·매도 불가. 다음 날 시가가 상한가 근접(전일 종가 +제한폭−0.5%p 이상: 2015-06-15 전 ±15%, 후 ±30%)이면 매수 불가. 손절은 시가 갭하락 시 시가로 체결.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유니버스</w:t>
            </w:r>
          </w:p>
        </w:tc>
        <w:tc>
          <w:tcPr>
            <w:tcW w:type="dxa" w:w="8391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KOSPI·KOSDAQ·KONEX 전 종목(상장폐지 포함, 우선주 포함), 20일 평균 거래대금 10억원 이상만 신호 인정.</w:t>
            </w:r>
          </w:p>
        </w:tc>
      </w:tr>
    </w:tbl>
    <w:p>
      <w:pPr>
        <w:spacing w:after="40"/>
      </w:pPr>
    </w:p>
    <w:p>
      <w:pPr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3. 데이터와 보정</w:t>
      </w:r>
    </w:p>
    <w:p>
      <w:r>
        <w:rPr>
          <w:b w:val="0"/>
          <w:i w:val="0"/>
          <w:sz w:val="18"/>
        </w:rPr>
        <w:t>데이터: MySQL stock_db. 국내 2015-01-02~2026-10-22는 기존 kor_price(수정주가), 1999-01-04~2018-07-03은 KRX 전종목 일별 원본(kor_ohlcv_raw, 상장폐지 종목 포함 8,954,783행, 3,706종목), 상장폐지 종목의 2018-07 이후는 kor_price_delisted(종가만). KRX가 2018-07-04부터 빈 응답을 주어 원본은 그 날짜까지만 받았다. 최종 패널 13,747,276행·4,624종목, 분석 단위(구간 분리 후) 4,598개.</w:t>
      </w:r>
    </w:p>
    <w:p>
      <w:pPr>
        <w:pStyle w:val="ListBullet"/>
        <w:spacing w:after="20"/>
      </w:pPr>
      <w:r>
        <w:rPr>
          <w:sz w:val="19"/>
        </w:rPr>
        <w:t>수정주가 보정: KRX 등락률은 기준가 대비라서 액면분할·병합·감자·권리락일에도 정상 값으로 나온다. 기준가 = 종가/(1+등락률), 전일 종가/기준가가 1%를 넘게 어긋나면 가격 단절로 보고 그 이전 가격을 보정 — 7,302건 보정(분할·병합급 2배 이상 2,238건, 2,413종목).</w:t>
      </w:r>
    </w:p>
    <w:p>
      <w:pPr>
        <w:pStyle w:val="ListBullet"/>
        <w:spacing w:after="20"/>
      </w:pPr>
      <w:r>
        <w:rPr>
          <w:sz w:val="19"/>
        </w:rPr>
        <w:t>연결 지점 재조정: 보정한 1999~2014 구간을 kor_price(상장폐지는 kor_price_delisted)와 겹치는 첫날(2015-01-02) 종가 비율로 종목별 재조정(2018-07 이후 사건 반영). 비교 가능 1,837종목 중 연결 지점(2014 마지막 거래일→2015 첫 거래일)에서 ±30%를 넘게 튄 종목 0개(±15% 초과도 0개, 중앙값 +0.35%). 겹침 구간에서 비율이 2% 넘게 변해 사건 탐지가 kor_price와 어긋난 종목 157개.</w:t>
      </w:r>
    </w:p>
    <w:p>
      <w:pPr>
        <w:pStyle w:val="ListBullet"/>
        <w:spacing w:after="20"/>
      </w:pPr>
      <w:r>
        <w:rPr>
          <w:sz w:val="19"/>
        </w:rPr>
        <w:t>보정되지 않은 가격 단절 방어: 일간 변동이 가격제한폭을 넘거나(4,329건) 15일 넘게 데이터가 끊긴(187건) 곳에서 종목을 구간으로 나눠 거래가 단절을 가로지르지 못하게 했다(이 과정에서 최근 3일만 kor_price에 들어 있던 우선주 등의 가짜 장기 보유 거래를 발견·제거).</w:t>
      </w:r>
    </w:p>
    <w:p>
      <w:pPr>
        <w:pStyle w:val="ListBullet"/>
        <w:spacing w:after="20"/>
      </w:pPr>
      <w:r>
        <w:rPr>
          <w:sz w:val="19"/>
        </w:rPr>
        <w:t>거래대금: 원본(1999~2018-07-03)은 KRX 거래대금, 이후는 수정종가×거래량(겹치는 구간에서 원본 거래대금의 0.999배로 검증). 상장폐지 종가-only 구간(2018-07 이후, 336,817행)은 거래대금이 없어 시가총액 500억원 이상을 유동성 대용으로 썼다.</w:t>
      </w:r>
    </w:p>
    <w:p>
      <w:r>
        <w:rPr>
          <w:b w:val="0"/>
          <w:i w:val="0"/>
          <w:sz w:val="17"/>
        </w:rPr>
        <w:t>증권거래세·농특세(매도, %): 근거는 나무위키 '증권거래세' 표(2026-07-31 판)와 각주이며 법령 원문은 직접 확인하지 못했다(확인 필요). 1999~2018 구간은 각주 기반 추정이다. 시장 구분은 현재 상장 종목만 알 수 있어 모르는 종목(대부분 상장폐지)은 코스닥 세율(보수적)을 적용했다.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381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  <w:t>기간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KOSPI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KOSDAQ</w:t>
            </w:r>
          </w:p>
        </w:tc>
        <w:tc>
          <w:tcPr>
            <w:tcW w:type="dxa" w:w="4989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~2013-06-30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0.30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0.50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KOSPI 0.15+농특 0.15 / KOSDAQ 각주상 이전 0.50%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2013-07-01~2019-05-29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0.30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0.30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2019-05-30~2020-12-31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0.25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0.25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2021~2022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0.23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0.23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2023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0.20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0.20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2024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0.18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0.18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2025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0.15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0.15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KOSPI 거래세 폐지, 농특세 0.15만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2026~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0.20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0.20</w:t>
            </w:r>
          </w:p>
        </w:tc>
        <w:tc>
          <w:tcPr>
            <w:tcW w:type="dxa" w:w="4989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KOSPI 0.05+0.15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595959"/>
          <w:sz w:val="16"/>
        </w:rPr>
        <w:t>※ 각주(거래세 근거): 나무위키 기준, 법령 원문 미확인.</w:t>
      </w:r>
    </w:p>
    <w:p>
      <w:pPr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4. 결과 (비용 반영, 2000-01-04~2026-10-22)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</w:tblGrid>
      <w:tr>
        <w:tc>
          <w:tcPr>
            <w:tcW w:type="dxa" w:w="705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</w:r>
          </w:p>
        </w:tc>
        <w:tc>
          <w:tcPr>
            <w:tcW w:type="dxa" w:w="705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CAGR</w:t>
            </w:r>
          </w:p>
        </w:tc>
        <w:tc>
          <w:tcPr>
            <w:tcW w:type="dxa" w:w="705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변동성</w:t>
            </w:r>
          </w:p>
        </w:tc>
        <w:tc>
          <w:tcPr>
            <w:tcW w:type="dxa" w:w="705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샤프</w:t>
            </w:r>
          </w:p>
        </w:tc>
        <w:tc>
          <w:tcPr>
            <w:tcW w:type="dxa" w:w="705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MDD</w:t>
            </w:r>
          </w:p>
        </w:tc>
        <w:tc>
          <w:tcPr>
            <w:tcW w:type="dxa" w:w="705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알파(연)</w:t>
            </w:r>
          </w:p>
        </w:tc>
        <w:tc>
          <w:tcPr>
            <w:tcW w:type="dxa" w:w="705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알파 t</w:t>
            </w:r>
          </w:p>
        </w:tc>
        <w:tc>
          <w:tcPr>
            <w:tcW w:type="dxa" w:w="705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베타</w:t>
            </w:r>
          </w:p>
        </w:tc>
        <w:tc>
          <w:tcPr>
            <w:tcW w:type="dxa" w:w="705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거래 수</w:t>
            </w:r>
          </w:p>
        </w:tc>
        <w:tc>
          <w:tcPr>
            <w:tcW w:type="dxa" w:w="705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승률</w:t>
            </w:r>
          </w:p>
        </w:tc>
        <w:tc>
          <w:tcPr>
            <w:tcW w:type="dxa" w:w="705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평균 R</w:t>
            </w:r>
          </w:p>
        </w:tc>
        <w:tc>
          <w:tcPr>
            <w:tcW w:type="dxa" w:w="705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평균 보유일</w:t>
            </w:r>
          </w:p>
        </w:tc>
        <w:tc>
          <w:tcPr>
            <w:tcW w:type="dxa" w:w="705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회전율(연)</w:t>
            </w:r>
          </w:p>
        </w:tc>
        <w:tc>
          <w:tcPr>
            <w:tcW w:type="dxa" w:w="705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평균 투자비중</w:t>
            </w:r>
          </w:p>
        </w:tc>
      </w:tr>
      <w:tr>
        <w:tc>
          <w:tcPr>
            <w:tcW w:type="dxa" w:w="705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매매법1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-10.6%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17.1%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-0.62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-96%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-14.8%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-5.6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0.47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70,419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34%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-0.029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30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17배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89%</w:t>
            </w:r>
          </w:p>
        </w:tc>
      </w:tr>
      <w:tr>
        <w:tc>
          <w:tcPr>
            <w:tcW w:type="dxa" w:w="705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매매법2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-3.0%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11.0%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-0.28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-74%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-4.6%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-2.3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0.18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11,422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32%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-0.009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8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33배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57%</w:t>
            </w:r>
          </w:p>
        </w:tc>
      </w:tr>
      <w:tr>
        <w:tc>
          <w:tcPr>
            <w:tcW w:type="dxa" w:w="705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합친것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-10.5%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17.2%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-0.61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-95%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-14.6%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-5.5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0.48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71,242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34%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-0.029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29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17배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89%</w:t>
            </w:r>
          </w:p>
        </w:tc>
      </w:tr>
      <w:tr>
        <w:tc>
          <w:tcPr>
            <w:tcW w:type="dxa" w:w="705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KOSPI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6.4%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0.36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-56%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1.00</w:t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</w:r>
          </w:p>
        </w:tc>
        <w:tc>
          <w:tcPr>
            <w:tcW w:type="dxa" w:w="705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71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qu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1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19"/>
        </w:rPr>
        <w:t>기간별 성과 (CAGR / 샤프 / MDD)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5"/>
              </w:rPr>
              <w:t>기간</w:t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매매법1</w:t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매매법2</w:t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합친것</w:t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KOSPI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전체(2000~)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-10.6% / -0.62 / -96%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-3.0% / -0.28 / -74%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-10.5% / -0.61 / -95%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6.4% / 0.36 / -56%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개발 2000~2012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-12.4% / -0.64 / -83%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1.1% / 0.16 / -27%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-10.9% / -0.55 / -78%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5.0% / 0.32 / -56%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검증 2013~2026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-9.1% / -0.60 / -77%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-6.8% / -0.62 / -68%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-10.2% / -0.68 / -79%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7.5% / 0.40 / -44%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2000~2007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-9.2% / -0.41 / -69%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4.3% / 0.51 / -25%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-6.2% / -0.23 / -68%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7.6% / 0.40 / -56%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2008~2016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-14.8% / -1.02 / -78%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-4.6% / -0.40 / -40%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-15.9% / -1.11 / -80%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1.0% / 0.15 / -50%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2017~2026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-7.6% / -0.49 / -67%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-7.3% / -0.68 / -59%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-8.7% / -0.55 / -64%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10.8% / 0.49 / -44%</w:t>
            </w:r>
          </w:p>
        </w:tc>
      </w:tr>
    </w:tbl>
    <w:p>
      <w:pPr>
        <w:spacing w:after="40"/>
      </w:pPr>
    </w:p>
    <w:p>
      <w:r>
        <w:rPr>
          <w:b/>
          <w:i w:val="0"/>
          <w:sz w:val="19"/>
        </w:rPr>
        <w:t>연도별 수익률 (2026은 10-22까지)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연도</w:t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매매법1</w:t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매매법2</w:t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합친것</w:t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4"/>
              </w:rPr>
              <w:t>KOSPI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2000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-42.9%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-6.0%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-42.9%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-52.4%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2001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4.6%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7.3%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6.6%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37.5%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2002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-35.1%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1.1%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-33.9%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-9.5%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2003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7.4%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-6.4%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3.8%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29.2%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2004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-6.6%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-11.1%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-5.4%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10.5%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2005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38.7%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45.7%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56.8%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54.0%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2006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-21.1%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-7.0%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-20.5%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4.0%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2007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8.5%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21.3%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22.0%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32.3%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2008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-49.2%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-10.5%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-48.1%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-40.7%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2009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10.2%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0.3%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10.8%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49.7%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2010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-7.9%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-1.9%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-6.9%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21.9%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2011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-22.3%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0.8%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-21.1%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-11.0%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2012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-2.7%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-7.5%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-11.6%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9.4%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2013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-9.7%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-8.7%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-11.3%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0.7%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2014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-3.3%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-10.1%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-12.5%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-4.8%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2015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0.5%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15.9%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-5.5%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2.4%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2016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-32.1%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-16.1%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-24.5%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3.3%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2017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6.5%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-7.6%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0.5%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21.8%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2018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-12.8%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-22.6%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-19.3%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-17.3%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2019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-19.5%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-12.4%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-17.1%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7.7%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2020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7.6%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3.2%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8.0%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30.8%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2021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15.5%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9.1%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28.3%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3.6%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2022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-30.6%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-25.1%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-27.4%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-24.9%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2023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-14.8%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-16.9%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-15.1%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18.7%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2024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-20.7%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4.8%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-26.0%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-9.6%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2025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14.9%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8.3%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12.5%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75.6%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4"/>
              </w:rPr>
              <w:t>2026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-8.3%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-3.8%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-13.4%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4"/>
              </w:rPr>
              <w:t>31.3%</w:t>
            </w:r>
          </w:p>
        </w:tc>
      </w:tr>
    </w:tbl>
    <w:p>
      <w:pPr>
        <w:spacing w:after="40"/>
      </w:pPr>
    </w:p>
    <w:p>
      <w:r>
        <w:rPr>
          <w:b/>
          <w:i w:val="0"/>
          <w:sz w:val="19"/>
        </w:rPr>
        <w:t>원천별 거래 통계 (평균 R / 거래 수): R=1999~2018-07 원본 보정, K=kor_price, D=상장폐지 종가-only(체결 근사)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2466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R</w:t>
            </w:r>
          </w:p>
        </w:tc>
        <w:tc>
          <w:tcPr>
            <w:tcW w:type="dxa" w:w="2466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K</w:t>
            </w:r>
          </w:p>
        </w:tc>
        <w:tc>
          <w:tcPr>
            <w:tcW w:type="dxa" w:w="2466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D</w:t>
            </w:r>
          </w:p>
        </w:tc>
      </w:tr>
      <w:tr>
        <w:tc>
          <w:tcPr>
            <w:tcW w:type="dxa" w:w="2466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매매법1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-0.018 / 26,318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-0.035 / 41,871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-0.075 / 2,230</w:t>
            </w:r>
          </w:p>
        </w:tc>
      </w:tr>
      <w:tr>
        <w:tc>
          <w:tcPr>
            <w:tcW w:type="dxa" w:w="2466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매매법2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+0.019 / 4,771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-0.036 / 6,387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+0.124 / 264</w:t>
            </w:r>
          </w:p>
        </w:tc>
      </w:tr>
      <w:tr>
        <w:tc>
          <w:tcPr>
            <w:tcW w:type="dxa" w:w="2466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합친것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-0.017 / 26,659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-0.034 / 42,330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-0.074 / 2,253</w:t>
            </w:r>
          </w:p>
        </w:tc>
      </w:tr>
    </w:tbl>
    <w:p>
      <w:pPr>
        <w:spacing w:after="40"/>
      </w:pPr>
    </w:p>
    <w:p>
      <w:pPr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5. 강건성 검증</w:t>
      </w:r>
    </w:p>
    <w:p>
      <w:r>
        <w:rPr>
          <w:b/>
          <w:i w:val="0"/>
          <w:sz w:val="19"/>
        </w:rPr>
        <w:t>① 우연 검증 — 같은 종목·같은 해에서 진입일만 무작위(10회), 손절·익절·청산 규칙 동일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실제 신호</w:t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무작위 평균 ± 표준편차</w:t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신호−무작위 (표준편차 단위)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매매법1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거래당 평균 R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-0.029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-0.021 ± 0.006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-1.3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매매법1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CAGR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-0.106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-0.069 ± 0.016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-2.4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매매법1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샤프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-0.620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-0.250 ± 0.077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-4.8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매매법1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승률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0.344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0.359 ± 0.002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-9.1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매매법2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거래당 평균 R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-0.009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-0.005 ± 0.005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-0.9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매매법2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CAGR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-0.030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-0.003 ± 0.008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-3.3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매매법2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샤프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-0.281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-0.015 ± 0.070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-3.8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매매법2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승률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0.315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0.361 ± 0.003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-14.4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34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nd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3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해석: 신호로 진입한 쪽이 무작위보다 좋지 않다(양의 값이 우위). 손익은 진입 신호보다 손절·익절·비용 구조에서 결정되고, 신호는 우위를 더하지 못한다. 무작위 진입도 평균 R이 음수라 이 청산 규칙 자체가 비용 후 기대값이 음이다. 포트폴리오 CAGR 차이(신호 쪽이 더 나쁨)에는 자본 제약 효과가 섞여 있다: 골든크로스는 시장 전반에 몰려 나오는데, 동시 20종목 제한 때문에 포트폴리오는 신호가 몰린 날의 일부와 한산한 날의 신호를 주로 담게 되고, 채택된 거래의 평균 순수익률은 약 −1.2%로 전체 신호 평균(약 −0.3%~−0.4%)보다 낮았다(우선순위를 무작위·유동성 오름차순으로 바꾸거나 동시 보유를 60종목으로 늘려도 같은 결과; 거래당 위험을 0.2%로 낮추면 CAGR −4.1%로 손실만 줄어듦). 무작위 표본 10회라 표준편차 추정은 거칠다.</w:t>
      </w:r>
    </w:p>
    <w:p>
      <w:r>
        <w:rPr>
          <w:b/>
          <w:i w:val="0"/>
          <w:sz w:val="19"/>
        </w:rPr>
        <w:t>② 비용 2배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전체 CAGR / 샤프</w:t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개발 2000~2012</w:t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검증 2013~2026</w:t>
            </w:r>
          </w:p>
        </w:tc>
        <w:tc>
          <w:tcPr>
            <w:tcW w:type="dxa" w:w="1973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6"/>
              </w:rPr>
              <w:t>거래당 평균 R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매매법1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-13.3% / -0.78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-14.7%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-11.9%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-0.088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매매법2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-11.0% / -1.07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-5.6%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-15.8%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-0.076</w:t>
            </w:r>
          </w:p>
        </w:tc>
      </w:tr>
      <w:tr>
        <w:tc>
          <w:tcPr>
            <w:tcW w:type="dxa" w:w="1973"/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합친것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-14.7% / -0.88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-16.1%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-13.4%</w:t>
            </w:r>
          </w:p>
        </w:tc>
        <w:tc>
          <w:tcPr>
            <w:tcW w:type="dxa" w:w="1973"/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-0.088</w:t>
            </w:r>
          </w:p>
        </w:tc>
      </w:tr>
    </w:tbl>
    <w:p>
      <w:pPr>
        <w:spacing w:after="40"/>
      </w:pPr>
    </w:p>
    <w:p>
      <w:r>
        <w:rPr>
          <w:b/>
          <w:i w:val="0"/>
          <w:sz w:val="19"/>
        </w:rPr>
        <w:t>③ 파라미터 한 개씩 변경 (CAGR / 거래당 평균 R / 검증기간 CAGR)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5"/>
              </w:rPr>
              <w:t>변경</w:t>
            </w:r>
          </w:p>
        </w:tc>
        <w:tc>
          <w:tcPr>
            <w:tcW w:type="dxa" w:w="3969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매매법1</w:t>
            </w:r>
          </w:p>
        </w:tc>
        <w:tc>
          <w:tcPr>
            <w:tcW w:type="dxa" w:w="3969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매매법2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RSI 기준선 45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-10.9% / -0.035 / -8.3%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-3.0% / -0.009 / -6.8%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RSI 기준선 55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-8.7% / -0.022 / -6.0%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-3.0% / -0.009 / -6.8%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과열선 65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-11.0% / -0.027 / -8.3%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-3.0% / -0.009 / -6.8%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과열선 75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-10.0% / -0.027 / -8.4%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-3.0% / -0.009 / -6.8%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목표 1.5R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-11.6% / -0.032 / -11.4%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-2.1% / -0.011 / -5.6%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목표 3R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-7.5% / -0.020 / -5.6%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-2.1% / -0.004 / -4.8%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손절 5일저점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-13.1% / -0.050 / -10.9%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-4.2% / -0.014 / -7.8%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손절 20일저점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-5.7% / -0.012 / -5.9%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-0.7% / -0.000 / -3.9%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손절폭상한 10%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-5.1% / -0.017 / -8.9%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-1.5% / -0.014 / -4.5%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유동성 30억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-9.1% / -0.051 / -9.2%</w:t>
            </w:r>
          </w:p>
        </w:tc>
        <w:tc>
          <w:tcPr>
            <w:tcW w:type="dxa" w:w="3969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-3.6% / -0.023 / -4.5%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9709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70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④ 개발·검증 분리: 개발(2000~2012)과 검증(2013~2026)에서 부호가 같다(매매법 1은 둘 다 음수). 매매법 2의 개발기간 양(+)은 유의하지 않고(알파 t 0.1) 검증기간에 음수(알파 t −3.1)로 바뀌어, 개발기간 성과가 표본 밖에서 유지되지 않았다.</w:t>
      </w:r>
    </w:p>
    <w:p>
      <w:r>
        <w:rPr>
          <w:b/>
          <w:i w:val="0"/>
          <w:sz w:val="19"/>
        </w:rPr>
        <w:t>⑥ 종목 선택 기준 점검 — 같은 날 신호가 남는 자리보다 많을 때 고르는 기준과 보유 한도</w:t>
      </w:r>
    </w:p>
    <w:p>
      <w:r>
        <w:rPr>
          <w:b w:val="0"/>
          <w:i w:val="0"/>
          <w:sz w:val="18"/>
        </w:rPr>
        <w:t>기본 규칙은 같은 진입일의 후보를 20일 평균 거래대금이 큰 순으로 정렬해 자리가 있는 만큼 담고 나머지는 건너뛴다(종목코드순이나 거래대금 작은 순이 아니다). 매매법 1 신호 70,419건 중 진입 신호가 있던 날은 6,428일이고 하루 20개를 넘긴 날이 822일(하루 최대 112개)이라 선택 기준이 결과에 영향을 줄 수 있어 아래와 같이 바꿔 다시 돌렸다.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515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5"/>
              </w:rPr>
              <w:t>선택·보유 기준 (CAGR / 샤프 / MDD)</w:t>
            </w:r>
          </w:p>
        </w:tc>
        <w:tc>
          <w:tcPr>
            <w:tcW w:type="dxa" w:w="2098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매매법1</w:t>
            </w:r>
          </w:p>
        </w:tc>
        <w:tc>
          <w:tcPr>
            <w:tcW w:type="dxa" w:w="2098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매매법2</w:t>
            </w:r>
          </w:p>
        </w:tc>
        <w:tc>
          <w:tcPr>
            <w:tcW w:type="dxa" w:w="2098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합친것</w:t>
            </w:r>
          </w:p>
        </w:tc>
      </w:tr>
      <w:tr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거래대금 큰 순 (기본, 동시 20종목)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-10.6% / -0.62 / -96%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-3.0% / -0.28 / -74%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-10.5% / -0.61 / -95%</w:t>
            </w:r>
          </w:p>
        </w:tc>
      </w:tr>
      <w:tr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거래대금 작은 순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-10.3% / -0.57 / -95%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-1.7% / -0.15 / -63%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-10.6% / -0.60 / -96%</w:t>
            </w:r>
          </w:p>
        </w:tc>
      </w:tr>
      <w:tr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종목코드 순 (임의 순서 참고)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-7.7% / -0.43 / -89%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-2.3% / -0.21 / -67%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-8.0% / -0.44 / -89%</w:t>
            </w:r>
          </w:p>
        </w:tc>
      </w:tr>
      <w:tr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무작위 (시드 고정 10회 평균, ±표준편차)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-10.5%±1.5% / -0.60 / -95%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-2.2%±0.5% / -0.20 / -67%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-10.3%±1.2% / -0.59 / -95%</w:t>
            </w:r>
          </w:p>
        </w:tc>
      </w:tr>
      <w:tr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동시 60종목 (거래대금 큰 순)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-11.2% / -0.57 / -97%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-3.1% / -0.29 / -75%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-11.6% / -0.60 / -97%</w:t>
            </w:r>
          </w:p>
        </w:tc>
      </w:tr>
      <w:tr>
        <w:tc>
          <w:tcPr>
            <w:tcW w:type="dxa" w:w="3515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보유 제한 없음 · 모든 신호 동일비중 · 현금 제약 없음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-11.2% / -0.54 / -97%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-15.1% / -0.59 / -99%</w:t>
            </w:r>
          </w:p>
        </w:tc>
        <w:tc>
          <w:tcPr>
            <w:tcW w:type="dxa" w:w="2098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-11.2% / -0.54 / -97%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결과: 모든 기준에서 세 전략 CAGR이 음수이고 부호가 바뀌는 경우가 없다. 종목 선택 기준을 바꿔도 결론 동일. (종목코드 순에서 매매법 1이 덜 나빠 보이는 것은 임의 순서가 우연히 유리했던 것으로 보이며 무작위 분포의 상단(평균보다 약 +1.9표준편차)일 뿐 의미 있는 기준이 아니다. 보유 제한 없는 동일비중에서는 열려 있는 포지션이 평균 306개로 거래일의 99%에 투자 상태였고, 현금 제약이 없어 현실 가능한 포트폴리오는 아니다.)</w:t>
      </w:r>
    </w:p>
    <w:p>
      <w:r>
        <w:rPr>
          <w:b/>
          <w:i w:val="0"/>
          <w:sz w:val="19"/>
        </w:rPr>
        <w:t>⑤ 미국 참고 (S&amp;P500 현재 구성종목 + 상장폐지 종목 없음 → 생존편향으로 상향 편향, 1995~2026, 왕복 0.1%)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096"/>
            <w:shd w:val="clear" w:color="auto" w:fill="1F3864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1096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CAGR</w:t>
            </w:r>
          </w:p>
        </w:tc>
        <w:tc>
          <w:tcPr>
            <w:tcW w:type="dxa" w:w="1096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샤프</w:t>
            </w:r>
          </w:p>
        </w:tc>
        <w:tc>
          <w:tcPr>
            <w:tcW w:type="dxa" w:w="1096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MDD</w:t>
            </w:r>
          </w:p>
        </w:tc>
        <w:tc>
          <w:tcPr>
            <w:tcW w:type="dxa" w:w="1096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거래 수</w:t>
            </w:r>
          </w:p>
        </w:tc>
        <w:tc>
          <w:tcPr>
            <w:tcW w:type="dxa" w:w="1096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승률</w:t>
            </w:r>
          </w:p>
        </w:tc>
        <w:tc>
          <w:tcPr>
            <w:tcW w:type="dxa" w:w="1096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평균 R</w:t>
            </w:r>
          </w:p>
        </w:tc>
        <w:tc>
          <w:tcPr>
            <w:tcW w:type="dxa" w:w="1096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평균 수익률/거래</w:t>
            </w:r>
          </w:p>
        </w:tc>
        <w:tc>
          <w:tcPr>
            <w:tcW w:type="dxa" w:w="1096"/>
            <w:shd w:val="clear" w:color="auto" w:fill="1F3864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5"/>
              </w:rPr>
              <w:t>SPY CAGR / MDD</w:t>
            </w:r>
          </w:p>
        </w:tc>
      </w:tr>
      <w:tr>
        <w:tc>
          <w:tcPr>
            <w:tcW w:type="dxa" w:w="1096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매매법1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8.1%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0.61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-53%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43,468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44%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+0.277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2.20%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10.4% / -55%</w:t>
            </w:r>
          </w:p>
        </w:tc>
      </w:tr>
      <w:tr>
        <w:tc>
          <w:tcPr>
            <w:tcW w:type="dxa" w:w="1096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매매법2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2.3%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0.26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-52%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21,067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38%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-0.385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0.15%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10.4% / -55%</w:t>
            </w:r>
          </w:p>
        </w:tc>
      </w:tr>
      <w:tr>
        <w:tc>
          <w:tcPr>
            <w:tcW w:type="dxa" w:w="1096"/>
          </w:tcPr>
          <w:p>
            <w:pPr>
              <w:spacing w:after="0"/>
              <w:jc w:val="left"/>
            </w:pPr>
            <w:r/>
            <w:r>
              <w:rPr>
                <w:sz w:val="15"/>
              </w:rPr>
              <w:t>합친것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7.7%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0.58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-55%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45,002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44%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+0.265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2.11%</w:t>
            </w:r>
          </w:p>
        </w:tc>
        <w:tc>
          <w:tcPr>
            <w:tcW w:type="dxa" w:w="1096"/>
          </w:tcPr>
          <w:p>
            <w:pPr>
              <w:spacing w:after="0"/>
              <w:jc w:val="center"/>
            </w:pPr>
            <w:r/>
            <w:r>
              <w:rPr>
                <w:sz w:val="15"/>
              </w:rPr>
              <w:t>10.4% / -55%</w:t>
            </w:r>
          </w:p>
        </w:tc>
      </w:tr>
    </w:tbl>
    <w:p>
      <w:pPr>
        <w:spacing w:after="40"/>
      </w:pPr>
    </w:p>
    <w:p>
      <w:pPr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6. 한계</w:t>
      </w:r>
    </w:p>
    <w:p>
      <w:pPr>
        <w:pStyle w:val="ListBullet"/>
        <w:spacing w:after="20"/>
      </w:pPr>
      <w:r>
        <w:rPr>
          <w:sz w:val="19"/>
        </w:rPr>
        <w:t>상장폐지 종목의 2018-07 이후는 종가만 있어(KRX 차단으로 원본 중단) 장중 저가 기반 손절·상한가 판정이 근사이고 유동성은 시가총액으로 대용했다. 전체 거래의 약 3%(D)이며 원천별 표에서 결론은 같다.</w:t>
      </w:r>
    </w:p>
    <w:p>
      <w:pPr>
        <w:pStyle w:val="ListBullet"/>
        <w:spacing w:after="20"/>
      </w:pPr>
      <w:r>
        <w:rPr>
          <w:sz w:val="19"/>
        </w:rPr>
        <w:t>수정주가는 등락률 기반 탐지(1% 허용오차)라 작은 권리락·배당 보정은 놓칠 수 있고, kor_price와 2% 넘게 어긋난 종목이 157개 있다. 구간 분리로 단절을 가로지르는 거래는 막았지만 단절 지점에서 정상 신호 일부가 사라졌을 수 있다.</w:t>
      </w:r>
    </w:p>
    <w:p>
      <w:pPr>
        <w:pStyle w:val="ListBullet"/>
        <w:spacing w:after="20"/>
      </w:pPr>
      <w:r>
        <w:rPr>
          <w:sz w:val="19"/>
        </w:rPr>
        <w:t>거래세·농특세율은 나무위키 기준이며 법령 원문은 확인하지 못했다. 1999~2018 구간은 각주 기반 추정, 시장 구분 미상 종목은 코스닥 세율 적용(보수적). 수수료·슬리피지는 가정값이며 호가 단위·시장충격은 반영하지 않았다.</w:t>
      </w:r>
    </w:p>
    <w:p>
      <w:pPr>
        <w:pStyle w:val="ListBullet"/>
        <w:spacing w:after="20"/>
      </w:pPr>
      <w:r>
        <w:rPr>
          <w:sz w:val="19"/>
        </w:rPr>
        <w:t>상한가 매수 불가·거래정지는 단순 규칙(시가가 상한가 근접, 거래량 0)으로 처리했고, 하한가 매도 불가는 별도로 반영하지 않았다(손실 과소평가 가능).</w:t>
      </w:r>
    </w:p>
    <w:p>
      <w:pPr>
        <w:pStyle w:val="ListBullet"/>
        <w:spacing w:after="20"/>
      </w:pPr>
      <w:r>
        <w:rPr>
          <w:sz w:val="19"/>
        </w:rPr>
        <w:t>유휴 현금 수익률을 0%로 두었다(투자비중 평균 매매법 1 89%, 매매법 2 57%). 샤프는 CD 91일 금리 대비, 알파는 KOSPI 대비 OLS(HAC).</w:t>
      </w:r>
    </w:p>
    <w:p>
      <w:pPr>
        <w:pStyle w:val="ListBullet"/>
        <w:spacing w:after="20"/>
      </w:pPr>
      <w:r>
        <w:rPr>
          <w:sz w:val="19"/>
        </w:rPr>
        <w:t>규칙 해석(다이버전스 정의, 지지 판정 '50~56 반등', 손절폭 3~15% 필터, 2R)은 합의한 기본값이며 최적화하지 않았다. 다른 해석에서는 결과가 달라질 수 있으나 파라미터 10종 변경에서 방향은 같았다.</w:t>
      </w:r>
    </w:p>
    <w:p>
      <w:pPr>
        <w:spacing w:after="60" w:before="160"/>
        <w:pBdr>
          <w:bottom w:val="single" w:sz="6" w:space="1" w:color="1F3864"/>
        </w:pBdr>
      </w:pPr>
      <w:r>
        <w:rPr>
          <w:b/>
          <w:i w:val="0"/>
          <w:color w:val="1F3864"/>
          <w:sz w:val="24"/>
        </w:rPr>
        <w:t>7. 결론</w:t>
      </w:r>
    </w:p>
    <w:p>
      <w:r>
        <w:rPr>
          <w:b w:val="0"/>
          <w:i w:val="0"/>
          <w:sz w:val="19"/>
        </w:rPr>
        <w:t>영상에서 소개된 두 매매법을 상장폐지 종목을 포함한 한국 주식 27년 데이터에 그대로 적용하면 비용 후 우위가 없었다. 신호 진입은 무작위 진입보다 낫지 않았고(매매법 1은 오히려 낮음), 비용 2배·기간 분할·파라미터 변경에서도 같은 방향이다. 이 규칙(10일 저점 손절, 2R 목표, 모멘텀 진입)은 비용 전 기대값이 거의 0이고 승률이 약 1/3이라 거래비용과 자본 제약 하의 신호 군집 효과를 이기지 못했다. 영상의 높은 승률 주장은 이 데이터에서 재현되지 않았다. 후속으로는 추세 필터(시장 국면)·청산 규칙 변경을 별도 가설로 사전 정의한 뒤 같은 절차로 검증하는 것이 적절하다.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