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220"/>
        <w:gridCol w:w="6136"/>
      </w:tblGrid>
      <w:tr w:rsidR="00E41FCD" w14:paraId="03F69C9F" w14:textId="77777777">
        <w:trPr>
          <w:cantSplit/>
          <w:trHeight w:val="357"/>
        </w:trPr>
        <w:tc>
          <w:tcPr>
            <w:tcW w:w="3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53467" w14:textId="77777777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Name: </w:t>
            </w:r>
          </w:p>
        </w:tc>
        <w:tc>
          <w:tcPr>
            <w:tcW w:w="6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8252B" w14:textId="53421B39" w:rsidR="00E41FCD" w:rsidRDefault="008C6919" w:rsidP="00144438">
            <w:pPr>
              <w:pStyle w:val="Default"/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 Car</w:t>
            </w:r>
          </w:p>
        </w:tc>
      </w:tr>
      <w:tr w:rsidR="00E41FCD" w14:paraId="10CBF3BB" w14:textId="77777777">
        <w:trPr>
          <w:cantSplit/>
          <w:trHeight w:val="357"/>
        </w:trPr>
        <w:tc>
          <w:tcPr>
            <w:tcW w:w="3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32381" w14:textId="77777777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Summary: </w:t>
            </w:r>
          </w:p>
        </w:tc>
        <w:tc>
          <w:tcPr>
            <w:tcW w:w="6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D7FD" w14:textId="5824CAD4" w:rsidR="00E41FCD" w:rsidRDefault="00C846CF" w:rsidP="008C6919">
            <w:pPr>
              <w:pStyle w:val="Default"/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="008C6919">
              <w:rPr>
                <w:rFonts w:ascii="Verdana" w:hAnsi="Verdana"/>
              </w:rPr>
              <w:t>his use case allows a user to add a car to the Maintenance Tracker application.</w:t>
            </w:r>
          </w:p>
        </w:tc>
      </w:tr>
      <w:tr w:rsidR="00E41FCD" w14:paraId="122CB82B" w14:textId="77777777">
        <w:trPr>
          <w:cantSplit/>
          <w:trHeight w:val="357"/>
        </w:trPr>
        <w:tc>
          <w:tcPr>
            <w:tcW w:w="3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21948" w14:textId="77777777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Version: </w:t>
            </w:r>
          </w:p>
        </w:tc>
        <w:tc>
          <w:tcPr>
            <w:tcW w:w="6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E2E2" w14:textId="0E92D004" w:rsidR="00E41FCD" w:rsidRDefault="00E41FCD" w:rsidP="00144438">
            <w:pPr>
              <w:pStyle w:val="Default"/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</w:t>
            </w:r>
            <w:r w:rsidR="00AC446D">
              <w:rPr>
                <w:rFonts w:ascii="Verdana" w:hAnsi="Verdana"/>
              </w:rPr>
              <w:t>1</w:t>
            </w:r>
          </w:p>
        </w:tc>
      </w:tr>
      <w:tr w:rsidR="00E41FCD" w14:paraId="171A23A6" w14:textId="77777777" w:rsidTr="008C6919">
        <w:trPr>
          <w:cantSplit/>
          <w:trHeight w:val="367"/>
        </w:trPr>
        <w:tc>
          <w:tcPr>
            <w:tcW w:w="3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08B6" w14:textId="77777777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Preconditions: </w:t>
            </w:r>
          </w:p>
        </w:tc>
        <w:tc>
          <w:tcPr>
            <w:tcW w:w="6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768FB" w14:textId="1877B69F" w:rsidR="00E71C49" w:rsidRDefault="008E6343" w:rsidP="00E71C49">
            <w:pPr>
              <w:pStyle w:val="Default"/>
              <w:numPr>
                <w:ilvl w:val="0"/>
                <w:numId w:val="1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System displays </w:t>
            </w:r>
            <w:r w:rsidR="00E71C49">
              <w:rPr>
                <w:rFonts w:ascii="Verdana" w:hAnsi="Verdana"/>
              </w:rPr>
              <w:t>a list of current cars.</w:t>
            </w:r>
          </w:p>
          <w:p w14:paraId="346B654E" w14:textId="5AC3671F" w:rsidR="008C6919" w:rsidRDefault="00E71C49" w:rsidP="00E71C49">
            <w:pPr>
              <w:pStyle w:val="Default"/>
              <w:numPr>
                <w:ilvl w:val="0"/>
                <w:numId w:val="1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System displays </w:t>
            </w:r>
            <w:r w:rsidR="008E6343">
              <w:rPr>
                <w:rFonts w:ascii="Verdana" w:hAnsi="Verdana"/>
              </w:rPr>
              <w:t>an Add Car button.</w:t>
            </w:r>
          </w:p>
        </w:tc>
      </w:tr>
      <w:tr w:rsidR="00E41FCD" w14:paraId="1E682BD0" w14:textId="77777777" w:rsidTr="008C6919">
        <w:trPr>
          <w:cantSplit/>
          <w:trHeight w:val="97"/>
        </w:trPr>
        <w:tc>
          <w:tcPr>
            <w:tcW w:w="3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667A0" w14:textId="6F8D43B7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Triggers: </w:t>
            </w:r>
          </w:p>
        </w:tc>
        <w:tc>
          <w:tcPr>
            <w:tcW w:w="6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25A8A" w14:textId="0A05B830" w:rsidR="00E41FCD" w:rsidRDefault="008C6919" w:rsidP="00E71C49">
            <w:pPr>
              <w:pStyle w:val="Default"/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user </w:t>
            </w:r>
            <w:r w:rsidR="00E71C49">
              <w:rPr>
                <w:rFonts w:ascii="Verdana" w:hAnsi="Verdana"/>
              </w:rPr>
              <w:t>selects</w:t>
            </w:r>
            <w:r>
              <w:rPr>
                <w:rFonts w:ascii="Verdana" w:hAnsi="Verdana"/>
              </w:rPr>
              <w:t xml:space="preserve"> the Add Car </w:t>
            </w:r>
            <w:r w:rsidR="00E71C49">
              <w:rPr>
                <w:rFonts w:ascii="Verdana" w:hAnsi="Verdana"/>
              </w:rPr>
              <w:t>icon.</w:t>
            </w:r>
          </w:p>
        </w:tc>
      </w:tr>
      <w:tr w:rsidR="00E41FCD" w14:paraId="599E655A" w14:textId="77777777">
        <w:trPr>
          <w:cantSplit/>
          <w:trHeight w:val="1200"/>
        </w:trPr>
        <w:tc>
          <w:tcPr>
            <w:tcW w:w="3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58F93" w14:textId="77777777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Main Success Scenario: </w:t>
            </w:r>
          </w:p>
        </w:tc>
        <w:tc>
          <w:tcPr>
            <w:tcW w:w="6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447A7" w14:textId="3E208AA0" w:rsidR="003370C2" w:rsidRDefault="00426FBA" w:rsidP="00144438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displays “Year” and the year field.</w:t>
            </w:r>
          </w:p>
          <w:p w14:paraId="0173021B" w14:textId="37C84C87" w:rsidR="00426FBA" w:rsidRDefault="00426FBA" w:rsidP="00144438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displays “Make” and the car make field.</w:t>
            </w:r>
          </w:p>
          <w:p w14:paraId="1A2CB1B5" w14:textId="0EF233C3" w:rsidR="00426FBA" w:rsidRDefault="00426FBA" w:rsidP="00144438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displays “Model” and the car model field.</w:t>
            </w:r>
          </w:p>
          <w:p w14:paraId="23C456C5" w14:textId="4A759F30" w:rsidR="00426FBA" w:rsidRDefault="00426FBA" w:rsidP="00144438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displays “Color” and the color field.</w:t>
            </w:r>
          </w:p>
          <w:p w14:paraId="7CB86886" w14:textId="7A22E2EF" w:rsidR="00426FBA" w:rsidRDefault="00426FBA" w:rsidP="00144438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displays “Current Mileage” and the current mileage field.</w:t>
            </w:r>
          </w:p>
          <w:p w14:paraId="2768DFF0" w14:textId="1F3E2FC6" w:rsidR="00426FBA" w:rsidRDefault="00426FBA" w:rsidP="00144438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displays “VIN” and the VIN field.</w:t>
            </w:r>
          </w:p>
          <w:p w14:paraId="2FBB775A" w14:textId="45DE88EB" w:rsidR="00426FBA" w:rsidRDefault="00426FBA" w:rsidP="008C6919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enters year, make, model, color, current mileage, and VIN.</w:t>
            </w:r>
          </w:p>
          <w:p w14:paraId="507CAA4E" w14:textId="79DC13F4" w:rsidR="008C6919" w:rsidRPr="00C846CF" w:rsidRDefault="00426FBA" w:rsidP="008C6919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presses “Add Car</w:t>
            </w:r>
            <w:r w:rsidR="008C6919">
              <w:rPr>
                <w:rFonts w:ascii="Verdana" w:hAnsi="Verdana"/>
              </w:rPr>
              <w:t>”</w:t>
            </w:r>
            <w:r>
              <w:rPr>
                <w:rFonts w:ascii="Verdana" w:hAnsi="Verdana"/>
              </w:rPr>
              <w:t>.</w:t>
            </w:r>
            <w:r w:rsidR="008C6919">
              <w:rPr>
                <w:rFonts w:ascii="Verdana" w:hAnsi="Verdana"/>
              </w:rPr>
              <w:t xml:space="preserve"> </w:t>
            </w:r>
          </w:p>
        </w:tc>
      </w:tr>
      <w:tr w:rsidR="00E41FCD" w14:paraId="7B08249B" w14:textId="77777777" w:rsidTr="00C846CF">
        <w:trPr>
          <w:cantSplit/>
          <w:trHeight w:val="565"/>
        </w:trPr>
        <w:tc>
          <w:tcPr>
            <w:tcW w:w="3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30091" w14:textId="7D63D06D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Alternative Success Scenarios: </w:t>
            </w:r>
          </w:p>
        </w:tc>
        <w:tc>
          <w:tcPr>
            <w:tcW w:w="6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99079" w14:textId="53E92247" w:rsidR="00E41FCD" w:rsidRPr="00C846CF" w:rsidRDefault="008C6919" w:rsidP="00E22E69">
            <w:pPr>
              <w:pStyle w:val="Default"/>
              <w:tabs>
                <w:tab w:val="left" w:pos="1074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There are no other successful scenarios for this use case. If the user fails to enter the required information, the application will display an error </w:t>
            </w:r>
            <w:r w:rsidR="00E22E69">
              <w:rPr>
                <w:rFonts w:ascii="Verdana" w:hAnsi="Verdana"/>
              </w:rPr>
              <w:t>asking</w:t>
            </w:r>
            <w:r>
              <w:rPr>
                <w:rFonts w:ascii="Verdana" w:hAnsi="Verdana"/>
              </w:rPr>
              <w:t xml:space="preserve"> the user to enter the required information.</w:t>
            </w:r>
          </w:p>
        </w:tc>
      </w:tr>
      <w:tr w:rsidR="00E41FCD" w14:paraId="4BC7C727" w14:textId="77777777">
        <w:trPr>
          <w:cantSplit/>
          <w:trHeight w:val="600"/>
        </w:trPr>
        <w:tc>
          <w:tcPr>
            <w:tcW w:w="3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1466C" w14:textId="77777777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Postconditions: </w:t>
            </w:r>
          </w:p>
        </w:tc>
        <w:tc>
          <w:tcPr>
            <w:tcW w:w="6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DAFC" w14:textId="77777777" w:rsidR="00633490" w:rsidRDefault="00633490" w:rsidP="00633490">
            <w:pPr>
              <w:pStyle w:val="Default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displays a list of current cars.</w:t>
            </w:r>
          </w:p>
          <w:p w14:paraId="04CD1C6A" w14:textId="75DEDB4C" w:rsidR="008C6919" w:rsidRPr="00C846CF" w:rsidRDefault="00633490" w:rsidP="00633490">
            <w:pPr>
              <w:pStyle w:val="Default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displays an Add Car button.</w:t>
            </w:r>
          </w:p>
        </w:tc>
      </w:tr>
      <w:tr w:rsidR="00E41FCD" w14:paraId="24758484" w14:textId="77777777">
        <w:trPr>
          <w:cantSplit/>
          <w:trHeight w:val="1200"/>
        </w:trPr>
        <w:tc>
          <w:tcPr>
            <w:tcW w:w="3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0094C" w14:textId="10E03BBE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Business Rules: </w:t>
            </w:r>
          </w:p>
          <w:p w14:paraId="2FE17231" w14:textId="77777777" w:rsidR="00E41FCD" w:rsidRDefault="00E41FCD">
            <w:pPr>
              <w:pStyle w:val="Default"/>
              <w:jc w:val="right"/>
            </w:pPr>
          </w:p>
        </w:tc>
        <w:tc>
          <w:tcPr>
            <w:tcW w:w="6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4D07" w14:textId="77777777" w:rsidR="00E41FCD" w:rsidRDefault="008C6919" w:rsidP="00144438">
            <w:pPr>
              <w:pStyle w:val="Default"/>
              <w:numPr>
                <w:ilvl w:val="0"/>
                <w:numId w:val="5"/>
              </w:numPr>
              <w:tabs>
                <w:tab w:val="clear" w:pos="333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year field must not be empty.</w:t>
            </w:r>
          </w:p>
          <w:p w14:paraId="279F54B3" w14:textId="77777777" w:rsidR="008C6919" w:rsidRDefault="008C6919" w:rsidP="00144438">
            <w:pPr>
              <w:pStyle w:val="Default"/>
              <w:numPr>
                <w:ilvl w:val="0"/>
                <w:numId w:val="5"/>
              </w:numPr>
              <w:tabs>
                <w:tab w:val="clear" w:pos="333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make field must not be empty.</w:t>
            </w:r>
          </w:p>
          <w:p w14:paraId="1BDA7008" w14:textId="77777777" w:rsidR="008C6919" w:rsidRDefault="008C6919" w:rsidP="008C6919">
            <w:pPr>
              <w:pStyle w:val="Default"/>
              <w:numPr>
                <w:ilvl w:val="0"/>
                <w:numId w:val="5"/>
              </w:numPr>
              <w:tabs>
                <w:tab w:val="clear" w:pos="333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model field must not be empty.</w:t>
            </w:r>
          </w:p>
          <w:p w14:paraId="30F38131" w14:textId="77777777" w:rsidR="008C6919" w:rsidRDefault="008C6919" w:rsidP="008C6919">
            <w:pPr>
              <w:pStyle w:val="Default"/>
              <w:numPr>
                <w:ilvl w:val="0"/>
                <w:numId w:val="5"/>
              </w:numPr>
              <w:tabs>
                <w:tab w:val="clear" w:pos="333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color field must not be empty.</w:t>
            </w:r>
          </w:p>
          <w:p w14:paraId="1097A3D9" w14:textId="0C085C25" w:rsidR="008C6919" w:rsidRDefault="008C6919" w:rsidP="008C6919">
            <w:pPr>
              <w:pStyle w:val="Default"/>
              <w:numPr>
                <w:ilvl w:val="0"/>
                <w:numId w:val="5"/>
              </w:numPr>
              <w:tabs>
                <w:tab w:val="clear" w:pos="333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current mileage field must not be empty.</w:t>
            </w:r>
          </w:p>
        </w:tc>
      </w:tr>
      <w:tr w:rsidR="00E41FCD" w14:paraId="62E7C986" w14:textId="77777777" w:rsidTr="008C6919">
        <w:trPr>
          <w:cantSplit/>
          <w:trHeight w:val="97"/>
        </w:trPr>
        <w:tc>
          <w:tcPr>
            <w:tcW w:w="3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976C5" w14:textId="02F7D2F3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Notes: </w:t>
            </w:r>
          </w:p>
        </w:tc>
        <w:tc>
          <w:tcPr>
            <w:tcW w:w="6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E53F6" w14:textId="30C1AD83" w:rsidR="00E41FCD" w:rsidRDefault="008C6919" w:rsidP="008C6919">
            <w:pPr>
              <w:pStyle w:val="Default"/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VIN field is optional.</w:t>
            </w:r>
          </w:p>
        </w:tc>
      </w:tr>
      <w:tr w:rsidR="00E41FCD" w14:paraId="7DB682BE" w14:textId="77777777">
        <w:trPr>
          <w:cantSplit/>
          <w:trHeight w:val="357"/>
        </w:trPr>
        <w:tc>
          <w:tcPr>
            <w:tcW w:w="3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B0C9E" w14:textId="77777777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Author: </w:t>
            </w:r>
          </w:p>
        </w:tc>
        <w:tc>
          <w:tcPr>
            <w:tcW w:w="6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FBAB" w14:textId="33D33982" w:rsidR="00E41FCD" w:rsidRDefault="00A706F2" w:rsidP="00144438">
            <w:pPr>
              <w:pStyle w:val="Default"/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Grant Hopkins</w:t>
            </w:r>
          </w:p>
        </w:tc>
      </w:tr>
      <w:tr w:rsidR="00E41FCD" w14:paraId="3778F0FF" w14:textId="77777777">
        <w:trPr>
          <w:cantSplit/>
          <w:trHeight w:val="357"/>
        </w:trPr>
        <w:tc>
          <w:tcPr>
            <w:tcW w:w="3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B8FE" w14:textId="77777777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Date: </w:t>
            </w:r>
          </w:p>
        </w:tc>
        <w:tc>
          <w:tcPr>
            <w:tcW w:w="6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FDFCA" w14:textId="70DADD0C" w:rsidR="00E41FCD" w:rsidRDefault="00A706F2" w:rsidP="00144438">
            <w:pPr>
              <w:pStyle w:val="Default"/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5/31/17</w:t>
            </w:r>
          </w:p>
        </w:tc>
      </w:tr>
    </w:tbl>
    <w:p w14:paraId="35C22B59" w14:textId="77777777" w:rsidR="00E41FCD" w:rsidRDefault="00E41FCD">
      <w:pPr>
        <w:pStyle w:val="Default"/>
        <w:rPr>
          <w:rFonts w:eastAsia="Times New Roman"/>
          <w:color w:val="auto"/>
          <w:sz w:val="20"/>
          <w:lang w:bidi="x-none"/>
        </w:rPr>
      </w:pPr>
      <w:bookmarkStart w:id="0" w:name="_GoBack"/>
      <w:bookmarkEnd w:id="0"/>
    </w:p>
    <w:sectPr w:rsidR="00E41FC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1160" w:footer="1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7E70F" w14:textId="77777777" w:rsidR="008F6C8B" w:rsidRDefault="008F6C8B">
      <w:r>
        <w:separator/>
      </w:r>
    </w:p>
  </w:endnote>
  <w:endnote w:type="continuationSeparator" w:id="0">
    <w:p w14:paraId="7BE5CEA4" w14:textId="77777777" w:rsidR="008F6C8B" w:rsidRDefault="008F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Verdana Bold">
    <w:panose1 w:val="020B0804030504040204"/>
    <w:charset w:val="A1"/>
    <w:family w:val="auto"/>
    <w:pitch w:val="variable"/>
    <w:sig w:usb0="A10006FF" w:usb1="4000205B" w:usb2="0000001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DE566" w14:textId="77777777" w:rsidR="00E41FCD" w:rsidRDefault="00E41FCD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9F3C4" w14:textId="77777777" w:rsidR="00E41FCD" w:rsidRDefault="00E41FCD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F25F5" w14:textId="77777777" w:rsidR="008F6C8B" w:rsidRDefault="008F6C8B">
      <w:r>
        <w:separator/>
      </w:r>
    </w:p>
  </w:footnote>
  <w:footnote w:type="continuationSeparator" w:id="0">
    <w:p w14:paraId="7E38D4D3" w14:textId="77777777" w:rsidR="008F6C8B" w:rsidRDefault="008F6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283F0" w14:textId="77777777" w:rsidR="00E41FCD" w:rsidRDefault="00E41FCD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2E15C" w14:textId="77777777" w:rsidR="00E41FCD" w:rsidRDefault="00E41FCD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33"/>
        </w:tabs>
        <w:ind w:left="333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92"/>
        </w:tabs>
        <w:ind w:left="792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25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28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324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36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396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33"/>
        </w:tabs>
        <w:ind w:left="333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92"/>
        </w:tabs>
        <w:ind w:left="792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25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28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324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36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396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432"/>
        </w:tabs>
        <w:ind w:left="432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33"/>
        </w:tabs>
        <w:ind w:left="333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92"/>
        </w:tabs>
        <w:ind w:left="792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25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28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324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36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3960"/>
      </w:pPr>
      <w:rPr>
        <w:rFonts w:hint="default"/>
        <w:color w:val="000000"/>
        <w:position w:val="0"/>
        <w:sz w:val="24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33"/>
        </w:tabs>
        <w:ind w:left="333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92"/>
        </w:tabs>
        <w:ind w:left="792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25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28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324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36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3960"/>
      </w:pPr>
      <w:rPr>
        <w:rFonts w:hint="default"/>
        <w:color w:val="000000"/>
        <w:position w:val="0"/>
        <w:sz w:val="24"/>
      </w:rPr>
    </w:lvl>
  </w:abstractNum>
  <w:abstractNum w:abstractNumId="5" w15:restartNumberingAfterBreak="0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33"/>
        </w:tabs>
        <w:ind w:left="333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92"/>
        </w:tabs>
        <w:ind w:left="792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25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28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324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36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3960"/>
      </w:pPr>
      <w:rPr>
        <w:rFonts w:hint="default"/>
        <w:color w:val="000000"/>
        <w:position w:val="0"/>
        <w:sz w:val="24"/>
      </w:rPr>
    </w:lvl>
  </w:abstractNum>
  <w:abstractNum w:abstractNumId="6" w15:restartNumberingAfterBreak="0">
    <w:nsid w:val="0B30616E"/>
    <w:multiLevelType w:val="hybridMultilevel"/>
    <w:tmpl w:val="1122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44DE3"/>
    <w:multiLevelType w:val="hybridMultilevel"/>
    <w:tmpl w:val="6B1CA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82"/>
    <w:rsid w:val="00073EDF"/>
    <w:rsid w:val="000958A4"/>
    <w:rsid w:val="00144438"/>
    <w:rsid w:val="003370C2"/>
    <w:rsid w:val="003E0B61"/>
    <w:rsid w:val="00426FBA"/>
    <w:rsid w:val="00633490"/>
    <w:rsid w:val="006F13C8"/>
    <w:rsid w:val="00743E2E"/>
    <w:rsid w:val="008C6919"/>
    <w:rsid w:val="008D52D8"/>
    <w:rsid w:val="008E6343"/>
    <w:rsid w:val="008F6C8B"/>
    <w:rsid w:val="00A02D82"/>
    <w:rsid w:val="00A706F2"/>
    <w:rsid w:val="00AC446D"/>
    <w:rsid w:val="00C846CF"/>
    <w:rsid w:val="00D57A18"/>
    <w:rsid w:val="00D868E4"/>
    <w:rsid w:val="00E22E69"/>
    <w:rsid w:val="00E41FCD"/>
    <w:rsid w:val="00E71C49"/>
    <w:rsid w:val="00FC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3C2F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Default">
    <w:name w:val="Default"/>
    <w:pPr>
      <w:suppressAutoHyphens/>
    </w:pPr>
    <w:rPr>
      <w:rFonts w:eastAsia="ヒラギノ角ゴ Pro W3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Conder</dc:creator>
  <cp:keywords/>
  <cp:lastModifiedBy>Grant Hopkins</cp:lastModifiedBy>
  <cp:revision>2</cp:revision>
  <dcterms:created xsi:type="dcterms:W3CDTF">2017-05-31T19:08:00Z</dcterms:created>
  <dcterms:modified xsi:type="dcterms:W3CDTF">2017-05-31T19:08:00Z</dcterms:modified>
</cp:coreProperties>
</file>