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Barlow Condensed" w:cs="Barlow Condensed" w:eastAsia="Barlow Condensed" w:hAnsi="Barlow Condensed"/>
          <w:color w:val="0B1F3A"/>
          <w:sz w:val="19"/>
          <w:szCs w:val="19"/>
        </w:rPr>
        <w:t xml:space="preserve">Our ref: ATC-2026-0151</w:t>
      </w:r>
      <w:r>
        <w:rPr>
          <w:rFonts w:ascii="Barlow Condensed" w:cs="Barlow Condensed" w:eastAsia="Barlow Condensed" w:hAnsi="Barlow Condensed"/>
          <w:color w:val="0B1F3A"/>
          <w:sz w:val="19"/>
          <w:szCs w:val="19"/>
        </w:rPr>
        <w:t xml:space="preserve">      Your ref: PDO-PR-2026-088</w:t>
      </w:r>
    </w:p>
    <w:p>
      <w:pPr>
        <w:spacing w:after="240"/>
      </w:pPr>
      <w:r>
        <w:rPr>
          <w:rFonts w:ascii="Barlow" w:cs="Barlow" w:eastAsia="Barlow" w:hAnsi="Barlow"/>
          <w:color w:val="0B1F3A"/>
          <w:sz w:val="22"/>
          <w:szCs w:val="22"/>
        </w:rPr>
        <w:t xml:space="preserve">29 September 2026</w:t>
      </w:r>
    </w:p>
    <w:p>
      <w:pPr>
        <w:spacing w:after="0"/>
      </w:pPr>
      <w:r>
        <w:rPr>
          <w:rFonts w:ascii="Barlow" w:cs="Barlow" w:eastAsia="Barlow" w:hAnsi="Barlow"/>
          <w:color w:val="0B1F3A"/>
          <w:sz w:val="22"/>
          <w:szCs w:val="22"/>
        </w:rPr>
        <w:t xml:space="preserve">Ing. María Fernández</w:t>
      </w:r>
    </w:p>
    <w:p>
      <w:pPr>
        <w:spacing w:after="0"/>
      </w:pPr>
      <w:r>
        <w:rPr>
          <w:rFonts w:ascii="Barlow" w:cs="Barlow" w:eastAsia="Barlow" w:hAnsi="Barlow"/>
          <w:color w:val="0B1F3A"/>
          <w:sz w:val="22"/>
          <w:szCs w:val="22"/>
        </w:rPr>
        <w:t xml:space="preserve">Gerente de Nuevos Negocios</w:t>
      </w:r>
    </w:p>
    <w:p>
      <w:pPr>
        <w:spacing w:after="0"/>
      </w:pPr>
      <w:r>
        <w:rPr>
          <w:rFonts w:ascii="Barlow" w:cs="Barlow" w:eastAsia="Barlow" w:hAnsi="Barlow"/>
          <w:color w:val="0B1F3A"/>
          <w:sz w:val="22"/>
          <w:szCs w:val="22"/>
        </w:rPr>
        <w:t xml:space="preserve">Petrolera del Orinoco S.A.</w:t>
      </w:r>
    </w:p>
    <w:p>
      <w:pPr>
        <w:spacing w:after="0"/>
      </w:pPr>
      <w:r>
        <w:rPr>
          <w:rFonts w:ascii="Barlow" w:cs="Barlow" w:eastAsia="Barlow" w:hAnsi="Barlow"/>
          <w:color w:val="0B1F3A"/>
          <w:sz w:val="22"/>
          <w:szCs w:val="22"/>
        </w:rPr>
        <w:t xml:space="preserve">Av. Francisco de Miranda, Torre Orinoco, Piso 12, Caracas 1060</w:t>
      </w:r>
    </w:p>
    <w:p>
      <w:pPr>
        <w:spacing w:after="160"/>
      </w:pPr>
    </w:p>
    <w:p>
      <w:pPr>
        <w:spacing w:after="60"/>
      </w:pPr>
      <w:r>
        <w:rPr>
          <w:rFonts w:ascii="Barlow" w:cs="Barlow" w:eastAsia="Barlow" w:hAnsi="Barlow"/>
          <w:b/>
          <w:bCs/>
          <w:color w:val="0B1F3A"/>
          <w:sz w:val="22"/>
          <w:szCs w:val="22"/>
        </w:rPr>
        <w:t xml:space="preserve">Proposed scope of a joint technical evaluation of extra-heavy oil development options</w:t>
      </w:r>
    </w:p>
    <w:p>
      <w:pPr>
        <w:spacing w:after="200"/>
      </w:pPr>
      <w:r>
        <w:rPr>
          <w:rFonts w:ascii="Barlow" w:cs="Barlow" w:eastAsia="Barlow" w:hAnsi="Barlow"/>
          <w:color w:val="6B7A8D"/>
          <w:sz w:val="18"/>
          <w:szCs w:val="18"/>
        </w:rPr>
        <w:t xml:space="preserve">Confidential under the mutual NDA of 14 February 2026 (ATC-2026-0103)</w:t>
      </w:r>
    </w:p>
    <w:p>
      <w:pPr>
        <w:spacing w:after="160"/>
      </w:pPr>
      <w:r>
        <w:rPr>
          <w:rFonts w:ascii="Barlow" w:cs="Barlow" w:eastAsia="Barlow" w:hAnsi="Barlow"/>
          <w:color w:val="0B1F3A"/>
          <w:sz w:val="22"/>
          <w:szCs w:val="22"/>
        </w:rPr>
        <w:t xml:space="preserve">Dear María Fernández,</w:t>
      </w:r>
    </w:p>
    <w:p>
      <w:pPr>
        <w:spacing w:after="160"/>
        <w:jc w:val="both"/>
      </w:pPr>
      <w:r>
        <w:rPr>
          <w:rFonts w:ascii="Barlow" w:cs="Barlow" w:eastAsia="Barlow" w:hAnsi="Barlow"/>
          <w:color w:val="0B1F3A"/>
          <w:sz w:val="22"/>
          <w:szCs w:val="22"/>
        </w:rPr>
        <w:t xml:space="preserve">Further to our clarification letter of 8 July 2026 (ATC-2026-0131) and your request of 30 June 2026 (PDO-PR-2026-088), we write to propose the scope of a joint technical evaluation of extra-heavy oil development options for one of your Orinoco Belt blocks.</w:t>
      </w:r>
    </w:p>
    <w:p>
      <w:pPr>
        <w:spacing w:after="160"/>
        <w:jc w:val="both"/>
      </w:pPr>
      <w:r>
        <w:rPr>
          <w:rFonts w:ascii="Barlow" w:cs="Barlow" w:eastAsia="Barlow" w:hAnsi="Barlow"/>
          <w:color w:val="0B1F3A"/>
          <w:sz w:val="22"/>
          <w:szCs w:val="22"/>
        </w:rPr>
        <w:t xml:space="preserve">The exchange proposed below falls within the mutual non-disclosure agreement in force between our companies since 14 February 2026 and expiring on 13 February 2028. Our screening of eight analogue fields indicates primary recovery of 6% to 12% of STOIIP under cold production, and a steam-assisted case has the higher NPV10 in seven of the eight analogues on a USD 65 per barrel deck. We would treat both as starting points to be tested against your data, not as findings for your asset.</w:t>
      </w:r>
    </w:p>
    <w:p>
      <w:pPr>
        <w:spacing w:after="160"/>
        <w:jc w:val="both"/>
      </w:pPr>
      <w:r>
        <w:rPr>
          <w:rFonts w:ascii="Barlow" w:cs="Barlow" w:eastAsia="Barlow" w:hAnsi="Barlow"/>
          <w:color w:val="0B1F3A"/>
          <w:sz w:val="22"/>
          <w:szCs w:val="22"/>
        </w:rPr>
        <w:t xml:space="preserve">We propose three work packages: a data audit and review of the reservoir characterisation; a screening of cold, steam-assisted and hybrid development concepts; and an economic comparison of the concepts on a common price deck and fiscal basis. Before any number is issued we would agree in writing the data basis, including which data Alpha Technical Centre accepts as represented by Petrolera del Orinoco and which it has verified. Any activity would proceed only with the authorisations required under applicable sanctions and export-control regimes.</w:t>
      </w:r>
    </w:p>
    <w:p>
      <w:pPr>
        <w:spacing w:after="160"/>
        <w:jc w:val="both"/>
      </w:pPr>
      <w:r>
        <w:rPr>
          <w:rFonts w:ascii="Barlow" w:cs="Barlow" w:eastAsia="Barlow" w:hAnsi="Barlow"/>
          <w:color w:val="0B1F3A"/>
          <w:sz w:val="22"/>
          <w:szCs w:val="22"/>
        </w:rPr>
        <w:t xml:space="preserve">We would welcome a call in the week of 12 October to agree the scope and the data exchange. Please treat this letter as confidential under the agreement referred to above.</w:t>
      </w:r>
    </w:p>
    <w:p>
      <w:pPr>
        <w:spacing w:after="360"/>
      </w:pPr>
      <w:r>
        <w:rPr>
          <w:rFonts w:ascii="Barlow" w:cs="Barlow" w:eastAsia="Barlow" w:hAnsi="Barlow"/>
          <w:color w:val="0B1F3A"/>
          <w:sz w:val="22"/>
          <w:szCs w:val="22"/>
        </w:rPr>
        <w:t xml:space="preserve">Yours sincerely,</w:t>
      </w:r>
    </w:p>
    <w:p>
      <w:pPr>
        <w:spacing w:after="80"/>
      </w:pPr>
      <w:r>
        <w:rPr>
          <w:rFonts w:ascii="Playfair Display" w:cs="Playfair Display" w:eastAsia="Playfair Display" w:hAnsi="Playfair Display"/>
          <w:i/>
          <w:iCs/>
          <w:color w:val="0B1F3A"/>
          <w:sz w:val="30"/>
          <w:szCs w:val="30"/>
        </w:rPr>
        <w:t xml:space="preserve">Chris Hopkinson</w:t>
      </w:r>
    </w:p>
    <w:p>
      <w:pPr>
        <w:spacing w:after="0"/>
      </w:pPr>
      <w:r>
        <w:rPr>
          <w:rFonts w:ascii="Barlow" w:cs="Barlow" w:eastAsia="Barlow" w:hAnsi="Barlow"/>
          <w:color w:val="0B1F3A"/>
          <w:sz w:val="22"/>
          <w:szCs w:val="22"/>
        </w:rPr>
        <w:t xml:space="preserve">Chris Hopkinson</w:t>
      </w:r>
    </w:p>
    <w:p>
      <w:pPr>
        <w:spacing w:after="0"/>
      </w:pPr>
      <w:r>
        <w:rPr>
          <w:rFonts w:ascii="Barlow" w:cs="Barlow" w:eastAsia="Barlow" w:hAnsi="Barlow"/>
          <w:color w:val="0B1F3A"/>
          <w:sz w:val="22"/>
          <w:szCs w:val="22"/>
        </w:rPr>
        <w:t xml:space="preserve">Managing Partner</w:t>
      </w:r>
    </w:p>
    <w:p>
      <w:pPr>
        <w:spacing w:after="0"/>
      </w:pPr>
      <w:r>
        <w:rPr>
          <w:rFonts w:ascii="Barlow" w:cs="Barlow" w:eastAsia="Barlow" w:hAnsi="Barlow"/>
          <w:color w:val="0B1F3A"/>
          <w:sz w:val="22"/>
          <w:szCs w:val="22"/>
        </w:rPr>
        <w:t xml:space="preserve">Alpha Technical Centre</w:t>
      </w:r>
    </w:p>
    <w:p>
      <w:pPr>
        <w:spacing w:after="240"/>
      </w:pPr>
    </w:p>
    <w:p>
      <w:pPr>
        <w:pStyle w:val="Heading4"/>
        <w:spacing w:after="80"/>
      </w:pPr>
      <w:r>
        <w:rPr>
          <w:rFonts w:ascii="Barlow" w:cs="Barlow" w:eastAsia="Barlow" w:hAnsi="Barlow"/>
          <w:b/>
          <w:bCs/>
          <w:color w:val="6B7A8D"/>
          <w:sz w:val="16"/>
          <w:szCs w:val="16"/>
        </w:rPr>
        <w:t xml:space="preserve">Previous correspondence · Petrolera del Orinoco S.A.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27"/>
        <w:gridCol w:w="2327"/>
        <w:gridCol w:w="2327"/>
        <w:gridCol w:w="2327"/>
      </w:tblGrid>
      <w:tr>
        <w:trPr>
          <w:tblHeader/>
        </w:trPr>
        <w:tc>
          <w:p>
            <w:r>
              <w:rPr>
                <w:rFonts w:ascii="Barlow" w:cs="Barlow" w:eastAsia="Barlow" w:hAnsi="Barlow"/>
                <w:b/>
                <w:bCs/>
                <w:color w:val="0B1F3A"/>
                <w:sz w:val="17"/>
                <w:szCs w:val="17"/>
              </w:rPr>
              <w:t xml:space="preserve">Date</w:t>
            </w:r>
          </w:p>
        </w:tc>
        <w:tc>
          <w:p>
            <w:r>
              <w:rPr>
                <w:rFonts w:ascii="Barlow" w:cs="Barlow" w:eastAsia="Barlow" w:hAnsi="Barlow"/>
                <w:b/>
                <w:bCs/>
                <w:color w:val="0B1F3A"/>
                <w:sz w:val="17"/>
                <w:szCs w:val="17"/>
              </w:rPr>
              <w:t xml:space="preserve">Dir.</w:t>
            </w:r>
          </w:p>
        </w:tc>
        <w:tc>
          <w:p>
            <w:r>
              <w:rPr>
                <w:rFonts w:ascii="Barlow" w:cs="Barlow" w:eastAsia="Barlow" w:hAnsi="Barlow"/>
                <w:b/>
                <w:bCs/>
                <w:color w:val="0B1F3A"/>
                <w:sz w:val="17"/>
                <w:szCs w:val="17"/>
              </w:rPr>
              <w:t xml:space="preserve">Reference</w:t>
            </w:r>
          </w:p>
        </w:tc>
        <w:tc>
          <w:p>
            <w:r>
              <w:rPr>
                <w:rFonts w:ascii="Barlow" w:cs="Barlow" w:eastAsia="Barlow" w:hAnsi="Barlow"/>
                <w:b/>
                <w:bCs/>
                <w:color w:val="0B1F3A"/>
                <w:sz w:val="17"/>
                <w:szCs w:val="17"/>
              </w:rPr>
              <w:t xml:space="preserve">Subject</w:t>
            </w:r>
          </w:p>
        </w:tc>
      </w:tr>
      <w:tr>
        <w:tc>
          <w:p>
            <w:r>
              <w:rPr>
                <w:rFonts w:ascii="Barlow" w:cs="Barlow" w:eastAsia="Barlow" w:hAnsi="Barlow"/>
                <w:b w:val="false"/>
                <w:bCs w:val="false"/>
                <w:color w:val="0B1F3A"/>
                <w:sz w:val="17"/>
                <w:szCs w:val="17"/>
              </w:rPr>
              <w:t xml:space="preserve">2026-02-03</w:t>
            </w:r>
          </w:p>
        </w:tc>
        <w:tc>
          <w:p>
            <w:r>
              <w:rPr>
                <w:rFonts w:ascii="Barlow" w:cs="Barlow" w:eastAsia="Barlow" w:hAnsi="Barlow"/>
                <w:b w:val="false"/>
                <w:bCs w:val="false"/>
                <w:color w:val="0B1F3A"/>
                <w:sz w:val="17"/>
                <w:szCs w:val="17"/>
              </w:rPr>
              <w:t xml:space="preserve">→</w:t>
            </w:r>
          </w:p>
        </w:tc>
        <w:tc>
          <w:p>
            <w:r>
              <w:rPr>
                <w:rFonts w:ascii="Barlow" w:cs="Barlow" w:eastAsia="Barlow" w:hAnsi="Barlow"/>
                <w:b w:val="false"/>
                <w:bCs w:val="false"/>
                <w:color w:val="0B1F3A"/>
                <w:sz w:val="17"/>
                <w:szCs w:val="17"/>
              </w:rPr>
              <w:t xml:space="preserve">ATC-2026-0098</w:t>
            </w:r>
          </w:p>
        </w:tc>
        <w:tc>
          <w:p>
            <w:r>
              <w:rPr>
                <w:rFonts w:ascii="Barlow" w:cs="Barlow" w:eastAsia="Barlow" w:hAnsi="Barlow"/>
                <w:b w:val="false"/>
                <w:bCs w:val="false"/>
                <w:color w:val="0B1F3A"/>
                <w:sz w:val="17"/>
                <w:szCs w:val="17"/>
              </w:rPr>
              <w:t xml:space="preserve">Introduction and capability statement</w:t>
            </w:r>
          </w:p>
        </w:tc>
      </w:tr>
      <w:tr>
        <w:tc>
          <w:p>
            <w:r>
              <w:rPr>
                <w:rFonts w:ascii="Barlow" w:cs="Barlow" w:eastAsia="Barlow" w:hAnsi="Barlow"/>
                <w:b w:val="false"/>
                <w:bCs w:val="false"/>
                <w:color w:val="0B1F3A"/>
                <w:sz w:val="17"/>
                <w:szCs w:val="17"/>
              </w:rPr>
              <w:t xml:space="preserve">2026-02-10</w:t>
            </w:r>
          </w:p>
        </w:tc>
        <w:tc>
          <w:p>
            <w:r>
              <w:rPr>
                <w:rFonts w:ascii="Barlow" w:cs="Barlow" w:eastAsia="Barlow" w:hAnsi="Barlow"/>
                <w:b w:val="false"/>
                <w:bCs w:val="false"/>
                <w:color w:val="0B1F3A"/>
                <w:sz w:val="17"/>
                <w:szCs w:val="17"/>
              </w:rPr>
              <w:t xml:space="preserve">←</w:t>
            </w:r>
          </w:p>
        </w:tc>
        <w:tc>
          <w:p>
            <w:r>
              <w:rPr>
                <w:rFonts w:ascii="Barlow" w:cs="Barlow" w:eastAsia="Barlow" w:hAnsi="Barlow"/>
                <w:b w:val="false"/>
                <w:bCs w:val="false"/>
                <w:color w:val="0B1F3A"/>
                <w:sz w:val="17"/>
                <w:szCs w:val="17"/>
              </w:rPr>
              <w:t xml:space="preserve">PDO-GC-2026-014</w:t>
            </w:r>
          </w:p>
        </w:tc>
        <w:tc>
          <w:p>
            <w:r>
              <w:rPr>
                <w:rFonts w:ascii="Barlow" w:cs="Barlow" w:eastAsia="Barlow" w:hAnsi="Barlow"/>
                <w:b w:val="false"/>
                <w:bCs w:val="false"/>
                <w:color w:val="0B1F3A"/>
                <w:sz w:val="17"/>
                <w:szCs w:val="17"/>
              </w:rPr>
              <w:t xml:space="preserve">Draft mutual NDA</w:t>
            </w:r>
          </w:p>
        </w:tc>
      </w:tr>
      <w:tr>
        <w:tc>
          <w:p>
            <w:r>
              <w:rPr>
                <w:rFonts w:ascii="Barlow" w:cs="Barlow" w:eastAsia="Barlow" w:hAnsi="Barlow"/>
                <w:b w:val="false"/>
                <w:bCs w:val="false"/>
                <w:color w:val="0B1F3A"/>
                <w:sz w:val="17"/>
                <w:szCs w:val="17"/>
              </w:rPr>
              <w:t xml:space="preserve">2026-02-14</w:t>
            </w:r>
          </w:p>
        </w:tc>
        <w:tc>
          <w:p>
            <w:r>
              <w:rPr>
                <w:rFonts w:ascii="Barlow" w:cs="Barlow" w:eastAsia="Barlow" w:hAnsi="Barlow"/>
                <w:b w:val="false"/>
                <w:bCs w:val="false"/>
                <w:color w:val="0B1F3A"/>
                <w:sz w:val="17"/>
                <w:szCs w:val="17"/>
              </w:rPr>
              <w:t xml:space="preserve">→</w:t>
            </w:r>
          </w:p>
        </w:tc>
        <w:tc>
          <w:p>
            <w:r>
              <w:rPr>
                <w:rFonts w:ascii="Barlow" w:cs="Barlow" w:eastAsia="Barlow" w:hAnsi="Barlow"/>
                <w:b w:val="false"/>
                <w:bCs w:val="false"/>
                <w:color w:val="0B1F3A"/>
                <w:sz w:val="17"/>
                <w:szCs w:val="17"/>
              </w:rPr>
              <w:t xml:space="preserve">ATC-2026-0103</w:t>
            </w:r>
          </w:p>
        </w:tc>
        <w:tc>
          <w:p>
            <w:r>
              <w:rPr>
                <w:rFonts w:ascii="Barlow" w:cs="Barlow" w:eastAsia="Barlow" w:hAnsi="Barlow"/>
                <w:b w:val="false"/>
                <w:bCs w:val="false"/>
                <w:color w:val="0B1F3A"/>
                <w:sz w:val="17"/>
                <w:szCs w:val="17"/>
              </w:rPr>
              <w:t xml:space="preserve">Signed mutual NDA</w:t>
            </w:r>
          </w:p>
        </w:tc>
      </w:tr>
      <w:tr>
        <w:tc>
          <w:p>
            <w:r>
              <w:rPr>
                <w:rFonts w:ascii="Barlow" w:cs="Barlow" w:eastAsia="Barlow" w:hAnsi="Barlow"/>
                <w:b w:val="false"/>
                <w:bCs w:val="false"/>
                <w:color w:val="0B1F3A"/>
                <w:sz w:val="17"/>
                <w:szCs w:val="17"/>
              </w:rPr>
              <w:t xml:space="preserve">2026-04-22</w:t>
            </w:r>
          </w:p>
        </w:tc>
        <w:tc>
          <w:p>
            <w:r>
              <w:rPr>
                <w:rFonts w:ascii="Barlow" w:cs="Barlow" w:eastAsia="Barlow" w:hAnsi="Barlow"/>
                <w:b w:val="false"/>
                <w:bCs w:val="false"/>
                <w:color w:val="0B1F3A"/>
                <w:sz w:val="17"/>
                <w:szCs w:val="17"/>
              </w:rPr>
              <w:t xml:space="preserve">→</w:t>
            </w:r>
          </w:p>
        </w:tc>
        <w:tc>
          <w:p>
            <w:r>
              <w:rPr>
                <w:rFonts w:ascii="Barlow" w:cs="Barlow" w:eastAsia="Barlow" w:hAnsi="Barlow"/>
                <w:b w:val="false"/>
                <w:bCs w:val="false"/>
                <w:color w:val="0B1F3A"/>
                <w:sz w:val="17"/>
                <w:szCs w:val="17"/>
              </w:rPr>
              <w:t xml:space="preserve">ATC-2026-0117</w:t>
            </w:r>
          </w:p>
        </w:tc>
        <w:tc>
          <w:p>
            <w:r>
              <w:rPr>
                <w:rFonts w:ascii="Barlow" w:cs="Barlow" w:eastAsia="Barlow" w:hAnsi="Barlow"/>
                <w:b w:val="false"/>
                <w:bCs w:val="false"/>
                <w:color w:val="0B1F3A"/>
                <w:sz w:val="17"/>
                <w:szCs w:val="17"/>
              </w:rPr>
              <w:t xml:space="preserve">Technical proposal: Carabobo heavy-oil screening</w:t>
            </w:r>
          </w:p>
        </w:tc>
      </w:tr>
      <w:tr>
        <w:tc>
          <w:p>
            <w:r>
              <w:rPr>
                <w:rFonts w:ascii="Barlow" w:cs="Barlow" w:eastAsia="Barlow" w:hAnsi="Barlow"/>
                <w:b w:val="false"/>
                <w:bCs w:val="false"/>
                <w:color w:val="0B1F3A"/>
                <w:sz w:val="17"/>
                <w:szCs w:val="17"/>
              </w:rPr>
              <w:t xml:space="preserve">2026-06-30</w:t>
            </w:r>
          </w:p>
        </w:tc>
        <w:tc>
          <w:p>
            <w:r>
              <w:rPr>
                <w:rFonts w:ascii="Barlow" w:cs="Barlow" w:eastAsia="Barlow" w:hAnsi="Barlow"/>
                <w:b w:val="false"/>
                <w:bCs w:val="false"/>
                <w:color w:val="0B1F3A"/>
                <w:sz w:val="17"/>
                <w:szCs w:val="17"/>
              </w:rPr>
              <w:t xml:space="preserve">←</w:t>
            </w:r>
          </w:p>
        </w:tc>
        <w:tc>
          <w:p>
            <w:r>
              <w:rPr>
                <w:rFonts w:ascii="Barlow" w:cs="Barlow" w:eastAsia="Barlow" w:hAnsi="Barlow"/>
                <w:b w:val="false"/>
                <w:bCs w:val="false"/>
                <w:color w:val="0B1F3A"/>
                <w:sz w:val="17"/>
                <w:szCs w:val="17"/>
              </w:rPr>
              <w:t xml:space="preserve">PDO-PR-2026-088</w:t>
            </w:r>
          </w:p>
        </w:tc>
        <w:tc>
          <w:p>
            <w:r>
              <w:rPr>
                <w:rFonts w:ascii="Barlow" w:cs="Barlow" w:eastAsia="Barlow" w:hAnsi="Barlow"/>
                <w:b w:val="false"/>
                <w:bCs w:val="false"/>
                <w:color w:val="0B1F3A"/>
                <w:sz w:val="17"/>
                <w:szCs w:val="17"/>
              </w:rPr>
              <w:t xml:space="preserve">Request for clarification on proposal scope</w:t>
            </w:r>
          </w:p>
        </w:tc>
      </w:tr>
      <w:tr>
        <w:tc>
          <w:p>
            <w:r>
              <w:rPr>
                <w:rFonts w:ascii="Barlow" w:cs="Barlow" w:eastAsia="Barlow" w:hAnsi="Barlow"/>
                <w:b w:val="false"/>
                <w:bCs w:val="false"/>
                <w:color w:val="0B1F3A"/>
                <w:sz w:val="17"/>
                <w:szCs w:val="17"/>
              </w:rPr>
              <w:t xml:space="preserve">2026-07-08</w:t>
            </w:r>
          </w:p>
        </w:tc>
        <w:tc>
          <w:p>
            <w:r>
              <w:rPr>
                <w:rFonts w:ascii="Barlow" w:cs="Barlow" w:eastAsia="Barlow" w:hAnsi="Barlow"/>
                <w:b w:val="false"/>
                <w:bCs w:val="false"/>
                <w:color w:val="0B1F3A"/>
                <w:sz w:val="17"/>
                <w:szCs w:val="17"/>
              </w:rPr>
              <w:t xml:space="preserve">→</w:t>
            </w:r>
          </w:p>
        </w:tc>
        <w:tc>
          <w:p>
            <w:r>
              <w:rPr>
                <w:rFonts w:ascii="Barlow" w:cs="Barlow" w:eastAsia="Barlow" w:hAnsi="Barlow"/>
                <w:b w:val="false"/>
                <w:bCs w:val="false"/>
                <w:color w:val="0B1F3A"/>
                <w:sz w:val="17"/>
                <w:szCs w:val="17"/>
              </w:rPr>
              <w:t xml:space="preserve">ATC-2026-0131</w:t>
            </w:r>
          </w:p>
        </w:tc>
        <w:tc>
          <w:p>
            <w:r>
              <w:rPr>
                <w:rFonts w:ascii="Barlow" w:cs="Barlow" w:eastAsia="Barlow" w:hAnsi="Barlow"/>
                <w:b w:val="false"/>
                <w:bCs w:val="false"/>
                <w:color w:val="0B1F3A"/>
                <w:sz w:val="17"/>
                <w:szCs w:val="17"/>
              </w:rPr>
              <w:t xml:space="preserve">Clarification letter on proposal scope</w:t>
            </w:r>
          </w:p>
        </w:tc>
      </w:tr>
    </w:tbl>
    <w:sectPr>
      <w:headerReference w:type="default" r:id="rId6"/>
      <w:footerReference w:type="default" r:id="rId7"/>
      <w:pgSz w:w="11906" w:h="16838" w:orient="portrait"/>
      <w:pgMar w:top="14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jc w:val="center"/>
    </w:pPr>
    <w:r>
      <w:rPr>
        <w:rFonts w:ascii="Barlow" w:cs="Barlow" w:eastAsia="Barlow" w:hAnsi="Barlow"/>
        <w:color w:val="6B7A8D"/>
        <w:sz w:val="15"/>
        <w:szCs w:val="15"/>
      </w:rPr>
      <w:t xml:space="preserve">Alpha Technical Centre · a wholly-owned subsidiary of Alpha Energy Latin America · info@alpha-technical-centre.com · www.alpha-technical-centre.com · ATC-2026-0151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5000"/>
      <w:tblBorders>
        <w:top w:val="none" w:sz="0"/>
        <w:left w:val="none" w:sz="0"/>
        <w:bottom w:val="single" w:color="C9A84C" w:sz="12"/>
        <w:right w:val="none" w:sz="0"/>
        <w:insideH w:val="none" w:sz="0"/>
        <w:insideV w:val="none" w:sz="0"/>
      </w:tblBorders>
    </w:tblPr>
    <w:tblGrid>
      <w:gridCol w:w="4188"/>
      <w:gridCol w:w="5118"/>
    </w:tblGrid>
    <w:tr>
      <w:tc>
        <w:tcPr>
          <w:tcW w:type="pct" w:w="2250"/>
        </w:tcPr>
        <w:p>
          <w:r>
            <w:drawing>
              <wp:inline distT="0" distB="0" distL="0" distR="0">
                <wp:extent cx="2095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561975"/>
                        </a:xfrm>
                        <a:prstGeom prst="rect">
                          <a:avLst/>
                        </a:prstGeom>
                      </pic:spPr>
                    </pic:pic>
                  </a:graphicData>
                </a:graphic>
              </wp:inline>
            </w:drawing>
          </w:r>
        </w:p>
      </w:tc>
      <w:tc>
        <w:tcPr>
          <w:tcW w:type="pct" w:w="2750"/>
        </w:tcPr>
        <w:p>
          <w:pPr>
            <w:spacing w:after="160"/>
            <w:jc w:val="right"/>
          </w:pPr>
          <w:r>
            <w:rPr>
              <w:rFonts w:ascii="Barlow" w:cs="Barlow" w:eastAsia="Barlow" w:hAnsi="Barlow"/>
              <w:color w:val="6B7A8D"/>
              <w:sz w:val="18"/>
              <w:szCs w:val="18"/>
            </w:rPr>
            <w:t xml:space="preserve">Technical evaluation for upstream oil and gas in Latin America</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0B1F3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95fd1e7836e208474107db81db01c63e3e68b8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ATC-2026-0151</dc:title>
  <dc:creator>Alpha Technical Centre</dc:creator>
  <cp:lastModifiedBy>Un-named</cp:lastModifiedBy>
  <cp:revision>1</cp:revision>
  <dcterms:created xsi:type="dcterms:W3CDTF">2026-09-29T22:47:27.675Z</dcterms:created>
  <dcterms:modified xsi:type="dcterms:W3CDTF">2026-09-29T22:47:27.675Z</dcterms:modified>
</cp:coreProperties>
</file>

<file path=docProps/custom.xml><?xml version="1.0" encoding="utf-8"?>
<Properties xmlns="http://schemas.openxmlformats.org/officeDocument/2006/custom-properties" xmlns:vt="http://schemas.openxmlformats.org/officeDocument/2006/docPropsVTypes"/>
</file>