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Barlow" w:cs="Barlow" w:eastAsia="Barlow" w:hAnsi="Barlow"/>
        </w:rPr>
        <w:t xml:space="preserve">{{body}}</w:t>
      </w:r>
    </w:p>
    <w:sectPr>
      <w:headerReference w:type="default" r:id="rId6"/>
      <w:footerReference w:type="default" r:id="rId7"/>
      <w:pgSz w:w="11906" w:h="16838" w:orient="portrait"/>
      <w:pgMar w:top="1400" w:right="1300" w:bottom="1100" w:left="13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84C" w:sz="6" w:space="4"/>
      </w:pBdr>
      <w:jc w:val="center"/>
    </w:pPr>
    <w:r>
      <w:rPr>
        <w:rFonts w:ascii="Barlow" w:cs="Barlow" w:eastAsia="Barlow" w:hAnsi="Barlow"/>
        <w:color w:val="0B1F3A"/>
        <w:sz w:val="16"/>
        <w:szCs w:val="16"/>
      </w:rPr>
      <w:t xml:space="preserve">Alpha Technical Centre · filial de Alpha Energy Latin America · info@alpha-technical-centre.com · www.alpha-technical-centre.com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5000"/>
      <w:tblBorders>
        <w:top w:val="none" w:sz="0"/>
        <w:left w:val="none" w:sz="0"/>
        <w:bottom w:val="single" w:color="C9A84C" w:sz="12"/>
        <w:right w:val="none" w:sz="0"/>
        <w:insideH w:val="none" w:sz="0"/>
        <w:insideV w:val="none" w:sz="0"/>
      </w:tblBorders>
    </w:tblPr>
    <w:tblGrid>
      <w:gridCol w:w="4188"/>
      <w:gridCol w:w="5118"/>
    </w:tblGrid>
    <w:tr>
      <w:tc>
        <w:tcPr>
          <w:tcW w:type="pct" w:w="2250"/>
        </w:tcPr>
        <w:p>
          <w:r>
            <w:drawing>
              <wp:inline distT="0" distB="0" distL="0" distR="0">
                <wp:extent cx="2095500" cy="565785"/>
                <wp:effectExtent t="0" r="0" b="0" l="0"/>
                <wp:docPr id="2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95500" cy="5657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pct" w:w="2750"/>
        </w:tcPr>
        <w:p>
          <w:pPr>
            <w:jc w:val="right"/>
          </w:pPr>
          <w:r>
            <w:rPr>
              <w:rFonts w:ascii="Barlow" w:cs="Barlow" w:eastAsia="Barlow" w:hAnsi="Barlow"/>
              <w:color w:val="6B7A8D"/>
              <w:sz w:val="18"/>
              <w:szCs w:val="18"/>
            </w:rPr>
            <w:t xml:space="preserve">Evaluación técnica para el upstream de petróleo y gas en América Latina</w:t>
          </w:r>
        </w:p>
      </w:tc>
    </w:tr>
  </w:tbl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Barlow" w:cs="Barlow" w:eastAsia="Barlow" w:hAnsi="Barlow"/>
        <w:color w:val="0B1F3A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b95fd1e7836e208474107db81db01c63e3e68b8c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ATC letterhead (es)</dc:title>
  <dc:creator>Alpha Technical Centre</dc:creator>
  <cp:lastModifiedBy>Un-named</cp:lastModifiedBy>
  <cp:revision>1</cp:revision>
  <dcterms:created xsi:type="dcterms:W3CDTF">2026-09-29T21:46:57.964Z</dcterms:created>
  <dcterms:modified xsi:type="dcterms:W3CDTF">2026-09-29T21:46:57.964Z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