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Estimate for Piping Integrity Assessment</w:t>
      </w:r>
    </w:p>
    <w:p>
      <w:r>
        <w:t>Client: Harborstone Manufacturing</w:t>
      </w:r>
    </w:p>
    <w:p>
      <w:r>
        <w:t>Project: Piping Integrity Assessment</w:t>
      </w:r>
    </w:p>
    <w:p>
      <w:r>
        <w:t>Project Code: HM-PIP-INT-ASS-2024</w:t>
      </w:r>
    </w:p>
    <w:p>
      <w:r>
        <w:t>Quote Number: Q-2024-09A</w:t>
      </w:r>
    </w:p>
    <w:p>
      <w:r>
        <w:t>Date: 2024-09-15</w:t>
      </w:r>
    </w:p>
    <w:p>
      <w:r>
        <w:t>Site: Port Melville Works</w:t>
      </w:r>
    </w:p>
    <w:p>
      <w:r>
        <w:t>Supplier: Vector Field Services</w:t>
      </w:r>
    </w:p>
    <w:p>
      <w:r>
        <w:t>Linked Report: report_09_2024_harborstone_manufacturing_piping_integrity_assessment.docx</w:t>
      </w:r>
    </w:p>
    <w:p>
      <w:r>
        <w:t>Scope: Mobilise specialist crew for piping integrity assessment including shutdown planning, testing attendance, and reporting close-out.</w:t>
      </w:r>
    </w:p>
    <w:p>
      <w:r>
        <w:t>Commercial Notes: Pricing includes site induction, temporary access equipment, and after-hours standby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