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BlueMesa Utilities - Piping Integrity Assessment - 2020</w:t>
      </w:r>
    </w:p>
    <w:p>
      <w:r>
        <w:t>Client Name: BlueMesa Utilities</w:t>
      </w:r>
    </w:p>
    <w:p>
      <w:pPr>
        <w:pStyle w:val="Heading2"/>
      </w:pPr>
      <w:r>
        <w:t>Introduction</w:t>
      </w:r>
    </w:p>
    <w:p>
      <w:r>
        <w:t>This fictional consultancy report documents a piping integrity assessment undertaken for BlueMesa Utilities in 2020. The engagement was commissioned to improve operational confidence and reduce unplanned outage exposure at Water Treatment Unit. The report is intended for asset managers, maintenance planners, and engineering leadership who require an evidence-based summary of condition and risk.</w:t>
      </w:r>
    </w:p>
    <w:p>
      <w:pPr>
        <w:pStyle w:val="Heading2"/>
      </w:pPr>
      <w:r>
        <w:t>Scope</w:t>
      </w:r>
    </w:p>
    <w:p>
      <w:r>
        <w:t>Scope included desktop review of prior maintenance records, field inspection of Slurry Line SL-9, interviews with operations personnel, and a structured review of controls and work practices. The scope excluded major redesign and capital execution planning, but included pragmatic recommendations and a 12-month prioritization pathway.</w:t>
      </w:r>
    </w:p>
    <w:p>
      <w:pPr>
        <w:pStyle w:val="Heading2"/>
      </w:pPr>
      <w:r>
        <w:t>Background</w:t>
      </w:r>
    </w:p>
    <w:p>
      <w:r>
        <w:t>Over the prior two operating cycles, BlueMesa Utilities recorded repeat defects and intermittent performance degradation linked to the target asset class. Historical work orders indicated recurring temporary repairs and deferred corrective actions. Leadership requested an independent assessment to establish a traceable baseline and a practical sequence of improvements.</w:t>
      </w:r>
    </w:p>
    <w:p>
      <w:pPr>
        <w:pStyle w:val="Heading2"/>
      </w:pPr>
      <w:r>
        <w:t>Method/Work Done</w:t>
      </w:r>
    </w:p>
    <w:p>
      <w:r>
        <w:t>The team used a four-stage method: (1) evidence collection, (2) condition grading, (3) risk ranking, and (4) workshop validation. Inspection activities included visual examination, selected dimensional checks, and cross-checks against manufacturer or internal standards. Findings were tested in a joint workshop with operations, maintenance, and reliability stakeholders to confirm feasibility and ownership.</w:t>
      </w:r>
    </w:p>
    <w:p>
      <w:pPr>
        <w:pStyle w:val="Heading2"/>
      </w:pPr>
      <w:r>
        <w:t>Results</w:t>
      </w:r>
    </w:p>
    <w:p>
      <w:r>
        <w:t>Results identified a blend of immediate defects, latent reliability risks, and process-control gaps. Immediate issues were primarily tied to component degradation and inconsistent verification after corrective tasks. Latent risks were associated with aging assets, variability in maintenance execution quality, and incomplete close-out evidence in work records.</w:t>
      </w:r>
    </w:p>
    <w:p>
      <w:pPr>
        <w:pStyle w:val="Heading2"/>
      </w:pPr>
      <w:r>
        <w:t>Discussion</w:t>
      </w:r>
    </w:p>
    <w:p>
      <w:r>
        <w:t>The assessment indicates that technical defects alone are not the full driver of risk; planning and assurance discipline are equally material. Where work packs included explicit acceptance criteria and post-work verification, defect recurrence was significantly lower. Improvement therefore requires both targeted repair actions and stronger workflow controls to sustain outcomes over multiple cycles.</w:t>
      </w:r>
    </w:p>
    <w:p>
      <w:pPr>
        <w:pStyle w:val="Heading2"/>
      </w:pPr>
      <w:r>
        <w:t>Conclusion</w:t>
      </w:r>
    </w:p>
    <w:p>
      <w:r>
        <w:t>The overall condition of Slurry Line SL-9 at Water Treatment Unit is serviceable but trending toward higher failure probability if current practices persist. A moderate intervention program over the next two quarters is likely to deliver measurable reliability gains and reduce reactive maintenance load. The client has sufficient capability to execute improvements with existing teams, provided governance and scheduling discipline are tightened.</w:t>
      </w:r>
    </w:p>
    <w:p>
      <w:pPr>
        <w:pStyle w:val="Heading2"/>
      </w:pPr>
      <w:r>
        <w:t>Recommendations</w:t>
      </w:r>
    </w:p>
    <w:p>
      <w:r>
        <w:t>1) Execute high-priority corrective actions within 30 days and verify completion with photo/test evidence. 2) Standardize acceptance criteria in work packs and make verification mandatory before close-out. 3) Establish monthly reliability review cadence with defect aging and recurrence KPIs. 4) Reassess asset condition at 6 months to confirm risk reduction and update intervention priorities.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