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C1B" w:rsidRPr="0028730E" w:rsidRDefault="0028730E" w:rsidP="00694BB6">
      <w:pPr>
        <w:pStyle w:val="Titel"/>
        <w:rPr>
          <w:lang w:val="en-GB"/>
        </w:rPr>
      </w:pPr>
      <w:r w:rsidRPr="0028730E">
        <w:rPr>
          <w:lang w:val="en-GB"/>
        </w:rPr>
        <w:t xml:space="preserve">Design - </w:t>
      </w:r>
      <w:r w:rsidR="00694BB6" w:rsidRPr="0028730E">
        <w:rPr>
          <w:lang w:val="en-GB"/>
        </w:rPr>
        <w:t>Branch History Table (BHT)</w:t>
      </w:r>
    </w:p>
    <w:p w:rsidR="00694BB6" w:rsidRPr="0028730E" w:rsidRDefault="00694BB6" w:rsidP="00694BB6">
      <w:pPr>
        <w:rPr>
          <w:lang w:val="en-GB"/>
        </w:rPr>
      </w:pPr>
    </w:p>
    <w:p w:rsidR="00694BB6" w:rsidRPr="00694BB6" w:rsidRDefault="00694BB6" w:rsidP="00694BB6">
      <w:pPr>
        <w:pStyle w:val="berschrift1"/>
        <w:rPr>
          <w:lang w:val="en-GB"/>
        </w:rPr>
      </w:pPr>
      <w:r w:rsidRPr="00694BB6">
        <w:rPr>
          <w:lang w:val="en-GB"/>
        </w:rPr>
        <w:t>2-bit Predictor, Saturation up-down counter</w:t>
      </w:r>
    </w:p>
    <w:p w:rsidR="00694BB6" w:rsidRDefault="00694BB6" w:rsidP="00694BB6">
      <w:pPr>
        <w:rPr>
          <w:lang w:val="en-GB"/>
        </w:rPr>
      </w:pPr>
    </w:p>
    <w:p w:rsidR="00694BB6" w:rsidRDefault="00694BB6" w:rsidP="00694BB6">
      <w:pPr>
        <w:pStyle w:val="Listenabsatz"/>
        <w:numPr>
          <w:ilvl w:val="0"/>
          <w:numId w:val="1"/>
        </w:numPr>
      </w:pPr>
      <w:r w:rsidRPr="00694BB6">
        <w:t>Zwei Bits repräsentieren den aktuellen Zustand eines bedingten Sprungbefehls für jeden Eintrag in der Sprungtabelle:</w:t>
      </w:r>
    </w:p>
    <w:tbl>
      <w:tblPr>
        <w:tblStyle w:val="Tabellenraster"/>
        <w:tblW w:w="0" w:type="auto"/>
        <w:tblInd w:w="1440" w:type="dxa"/>
        <w:tblLook w:val="04A0" w:firstRow="1" w:lastRow="0" w:firstColumn="1" w:lastColumn="0" w:noHBand="0" w:noVBand="1"/>
      </w:tblPr>
      <w:tblGrid>
        <w:gridCol w:w="3779"/>
        <w:gridCol w:w="3843"/>
      </w:tblGrid>
      <w:tr w:rsidR="00694BB6" w:rsidRPr="00694BB6" w:rsidTr="00694BB6">
        <w:tc>
          <w:tcPr>
            <w:tcW w:w="4531" w:type="dxa"/>
          </w:tcPr>
          <w:p w:rsidR="00694BB6" w:rsidRPr="00694BB6" w:rsidRDefault="00694BB6" w:rsidP="00694BB6">
            <w:pPr>
              <w:pStyle w:val="Listenabsatz"/>
              <w:ind w:left="0"/>
              <w:rPr>
                <w:b/>
              </w:rPr>
            </w:pPr>
            <w:r w:rsidRPr="00694BB6">
              <w:rPr>
                <w:b/>
              </w:rPr>
              <w:t>Two Bits</w:t>
            </w:r>
          </w:p>
        </w:tc>
        <w:tc>
          <w:tcPr>
            <w:tcW w:w="4531" w:type="dxa"/>
          </w:tcPr>
          <w:p w:rsidR="00694BB6" w:rsidRPr="00694BB6" w:rsidRDefault="00694BB6" w:rsidP="00694BB6">
            <w:pPr>
              <w:pStyle w:val="Listenabsatz"/>
              <w:ind w:left="0"/>
              <w:rPr>
                <w:b/>
              </w:rPr>
            </w:pPr>
            <w:r w:rsidRPr="00694BB6">
              <w:rPr>
                <w:b/>
              </w:rPr>
              <w:t>State</w:t>
            </w:r>
          </w:p>
        </w:tc>
      </w:tr>
      <w:tr w:rsidR="00694BB6" w:rsidTr="00694BB6">
        <w:tc>
          <w:tcPr>
            <w:tcW w:w="4531" w:type="dxa"/>
          </w:tcPr>
          <w:p w:rsidR="00694BB6" w:rsidRDefault="00694BB6" w:rsidP="00694BB6">
            <w:pPr>
              <w:pStyle w:val="Listenabsatz"/>
              <w:ind w:left="0"/>
            </w:pPr>
            <w:r>
              <w:t>„11“</w:t>
            </w:r>
          </w:p>
        </w:tc>
        <w:tc>
          <w:tcPr>
            <w:tcW w:w="4531" w:type="dxa"/>
          </w:tcPr>
          <w:p w:rsidR="00694BB6" w:rsidRDefault="00694BB6" w:rsidP="00694BB6">
            <w:pPr>
              <w:pStyle w:val="Listenabsatz"/>
              <w:ind w:left="0"/>
            </w:pPr>
            <w:r>
              <w:t>Strongly Taken</w:t>
            </w:r>
          </w:p>
        </w:tc>
      </w:tr>
      <w:tr w:rsidR="00694BB6" w:rsidTr="00694BB6">
        <w:tc>
          <w:tcPr>
            <w:tcW w:w="4531" w:type="dxa"/>
          </w:tcPr>
          <w:p w:rsidR="00694BB6" w:rsidRDefault="00694BB6" w:rsidP="00694BB6">
            <w:pPr>
              <w:pStyle w:val="Listenabsatz"/>
              <w:ind w:left="0"/>
            </w:pPr>
            <w:r>
              <w:t>„10“</w:t>
            </w:r>
          </w:p>
        </w:tc>
        <w:tc>
          <w:tcPr>
            <w:tcW w:w="4531" w:type="dxa"/>
          </w:tcPr>
          <w:p w:rsidR="00694BB6" w:rsidRDefault="00694BB6" w:rsidP="00694BB6">
            <w:pPr>
              <w:pStyle w:val="Listenabsatz"/>
              <w:ind w:left="0"/>
            </w:pPr>
            <w:r>
              <w:t>Weakly Taken</w:t>
            </w:r>
          </w:p>
        </w:tc>
      </w:tr>
      <w:tr w:rsidR="00694BB6" w:rsidTr="00694BB6">
        <w:tc>
          <w:tcPr>
            <w:tcW w:w="4531" w:type="dxa"/>
          </w:tcPr>
          <w:p w:rsidR="00694BB6" w:rsidRDefault="00694BB6" w:rsidP="00694BB6">
            <w:pPr>
              <w:pStyle w:val="Listenabsatz"/>
              <w:ind w:left="0"/>
            </w:pPr>
            <w:r>
              <w:t>„01“</w:t>
            </w:r>
          </w:p>
        </w:tc>
        <w:tc>
          <w:tcPr>
            <w:tcW w:w="4531" w:type="dxa"/>
          </w:tcPr>
          <w:p w:rsidR="00694BB6" w:rsidRDefault="00694BB6" w:rsidP="00694BB6">
            <w:pPr>
              <w:pStyle w:val="Listenabsatz"/>
              <w:ind w:left="0"/>
            </w:pPr>
            <w:r>
              <w:t>Weakly Not Taken</w:t>
            </w:r>
          </w:p>
        </w:tc>
      </w:tr>
      <w:tr w:rsidR="00694BB6" w:rsidTr="00694BB6">
        <w:tc>
          <w:tcPr>
            <w:tcW w:w="4531" w:type="dxa"/>
          </w:tcPr>
          <w:p w:rsidR="00694BB6" w:rsidRDefault="00694BB6" w:rsidP="00694BB6">
            <w:pPr>
              <w:pStyle w:val="Listenabsatz"/>
              <w:ind w:left="0"/>
            </w:pPr>
            <w:r>
              <w:t>„00“</w:t>
            </w:r>
          </w:p>
        </w:tc>
        <w:tc>
          <w:tcPr>
            <w:tcW w:w="4531" w:type="dxa"/>
          </w:tcPr>
          <w:p w:rsidR="00694BB6" w:rsidRDefault="00694BB6" w:rsidP="00694BB6">
            <w:pPr>
              <w:pStyle w:val="Listenabsatz"/>
              <w:ind w:left="0"/>
            </w:pPr>
            <w:r>
              <w:t>Strongly Not Taken</w:t>
            </w:r>
          </w:p>
        </w:tc>
      </w:tr>
    </w:tbl>
    <w:p w:rsidR="00694BB6" w:rsidRPr="00694BB6" w:rsidRDefault="00694BB6" w:rsidP="00694BB6">
      <w:pPr>
        <w:pStyle w:val="Listenabsatz"/>
        <w:numPr>
          <w:ilvl w:val="0"/>
          <w:numId w:val="1"/>
        </w:numPr>
      </w:pPr>
      <w:r>
        <w:t>Anfangszustand jedes Eintrages ist Weakly Taken (siehe Seite 42)</w:t>
      </w:r>
    </w:p>
    <w:p w:rsidR="00694BB6" w:rsidRDefault="0028730E" w:rsidP="0028730E">
      <w:pPr>
        <w:pStyle w:val="Listenabsatz"/>
        <w:numPr>
          <w:ilvl w:val="0"/>
          <w:numId w:val="1"/>
        </w:numPr>
      </w:pPr>
      <w:r>
        <w:t>Neue Datentypen:</w:t>
      </w:r>
      <w:r>
        <w:tab/>
      </w:r>
    </w:p>
    <w:p w:rsidR="0028730E" w:rsidRPr="0028730E" w:rsidRDefault="0028730E" w:rsidP="0028730E">
      <w:pPr>
        <w:pStyle w:val="Listenabsatz"/>
        <w:numPr>
          <w:ilvl w:val="1"/>
          <w:numId w:val="1"/>
        </w:numPr>
        <w:rPr>
          <w:lang w:val="en-GB"/>
        </w:rPr>
      </w:pPr>
      <w:r w:rsidRPr="0028730E">
        <w:rPr>
          <w:b/>
          <w:lang w:val="en-GB"/>
        </w:rPr>
        <w:t>PredictionState</w:t>
      </w:r>
      <w:r>
        <w:rPr>
          <w:lang w:val="en-GB"/>
        </w:rPr>
        <w:t>:</w:t>
      </w:r>
      <w:r w:rsidRPr="0028730E">
        <w:rPr>
          <w:lang w:val="en-GB"/>
        </w:rPr>
        <w:t xml:space="preserve"> {STRONGLY_TAKEN, WEAKLY_TAKEN, WEAKLY_NOT_TAKEN, STRONGLY_NOT_TAKEN}</w:t>
      </w:r>
    </w:p>
    <w:p w:rsidR="0028730E" w:rsidRDefault="0028730E" w:rsidP="0028730E">
      <w:pPr>
        <w:pStyle w:val="Listenabsatz"/>
        <w:numPr>
          <w:ilvl w:val="1"/>
          <w:numId w:val="1"/>
        </w:numPr>
        <w:rPr>
          <w:lang w:val="en-GB"/>
        </w:rPr>
      </w:pPr>
      <w:r w:rsidRPr="0028730E">
        <w:rPr>
          <w:b/>
          <w:lang w:val="en-GB"/>
        </w:rPr>
        <w:t>Prediction</w:t>
      </w:r>
      <w:r>
        <w:rPr>
          <w:lang w:val="en-GB"/>
        </w:rPr>
        <w:t>: {TAKEN, NOT_TAKEN}</w:t>
      </w:r>
    </w:p>
    <w:p w:rsidR="0028730E" w:rsidRDefault="0028730E" w:rsidP="0028730E">
      <w:pPr>
        <w:pStyle w:val="Listenabsatz"/>
        <w:numPr>
          <w:ilvl w:val="0"/>
          <w:numId w:val="1"/>
        </w:numPr>
        <w:rPr>
          <w:lang w:val="en-GB"/>
        </w:rPr>
      </w:pPr>
      <w:r>
        <w:rPr>
          <w:lang w:val="en-GB"/>
        </w:rPr>
        <w:t>Beispiel einer BHT</w:t>
      </w:r>
    </w:p>
    <w:p w:rsidR="0028730E" w:rsidRDefault="0028730E" w:rsidP="0028730E">
      <w:pPr>
        <w:pStyle w:val="Listenabsatz"/>
        <w:numPr>
          <w:ilvl w:val="1"/>
          <w:numId w:val="1"/>
        </w:numPr>
        <w:rPr>
          <w:lang w:val="en-GB"/>
        </w:rPr>
      </w:pPr>
      <w:r>
        <w:rPr>
          <w:lang w:val="en-GB"/>
        </w:rPr>
        <w:t xml:space="preserve">32 Einträge </w:t>
      </w:r>
      <w:r w:rsidRPr="0028730E">
        <w:rPr>
          <w:lang w:val="en-GB"/>
        </w:rPr>
        <w:sym w:font="Wingdings" w:char="F0E0"/>
      </w:r>
      <w:r>
        <w:rPr>
          <w:lang w:val="en-GB"/>
        </w:rPr>
        <w:t xml:space="preserve"> log</w:t>
      </w:r>
      <w:r w:rsidRPr="0028730E">
        <w:rPr>
          <w:vertAlign w:val="subscript"/>
          <w:lang w:val="en-GB"/>
        </w:rPr>
        <w:t>2</w:t>
      </w:r>
      <w:r>
        <w:rPr>
          <w:lang w:val="en-GB"/>
        </w:rPr>
        <w:t>(32) = 5</w:t>
      </w:r>
    </w:p>
    <w:p w:rsidR="006638EA" w:rsidRPr="006638EA" w:rsidRDefault="006638EA" w:rsidP="0028730E">
      <w:pPr>
        <w:pStyle w:val="Listenabsatz"/>
        <w:numPr>
          <w:ilvl w:val="1"/>
          <w:numId w:val="1"/>
        </w:numPr>
      </w:pPr>
      <w:r w:rsidRPr="006638EA">
        <w:t>Ein Indexvektor besitzt daher die Länge n=5.</w:t>
      </w:r>
    </w:p>
    <w:tbl>
      <w:tblPr>
        <w:tblStyle w:val="Tabellenraster"/>
        <w:tblW w:w="0" w:type="auto"/>
        <w:tblInd w:w="1440" w:type="dxa"/>
        <w:tblLook w:val="04A0" w:firstRow="1" w:lastRow="0" w:firstColumn="1" w:lastColumn="0" w:noHBand="0" w:noVBand="1"/>
      </w:tblPr>
      <w:tblGrid>
        <w:gridCol w:w="1537"/>
        <w:gridCol w:w="3544"/>
      </w:tblGrid>
      <w:tr w:rsidR="0028730E" w:rsidRPr="006638EA" w:rsidTr="006638EA">
        <w:tc>
          <w:tcPr>
            <w:tcW w:w="1537" w:type="dxa"/>
            <w:tcBorders>
              <w:top w:val="nil"/>
              <w:left w:val="nil"/>
              <w:bottom w:val="nil"/>
              <w:right w:val="single" w:sz="4" w:space="0" w:color="auto"/>
            </w:tcBorders>
          </w:tcPr>
          <w:p w:rsidR="0028730E" w:rsidRPr="006638EA" w:rsidRDefault="0028730E" w:rsidP="006638EA">
            <w:pPr>
              <w:pStyle w:val="Listenabsatz"/>
              <w:ind w:left="0"/>
              <w:jc w:val="right"/>
              <w:rPr>
                <w:i/>
                <w:color w:val="538135" w:themeColor="accent6" w:themeShade="BF"/>
                <w:lang w:val="en-GB"/>
              </w:rPr>
            </w:pPr>
            <w:r w:rsidRPr="006638EA">
              <w:rPr>
                <w:i/>
                <w:color w:val="538135" w:themeColor="accent6" w:themeShade="BF"/>
                <w:lang w:val="en-GB"/>
              </w:rPr>
              <w:t>Index</w:t>
            </w:r>
          </w:p>
        </w:tc>
        <w:tc>
          <w:tcPr>
            <w:tcW w:w="3544" w:type="dxa"/>
            <w:tcBorders>
              <w:left w:val="single" w:sz="4" w:space="0" w:color="auto"/>
            </w:tcBorders>
          </w:tcPr>
          <w:p w:rsidR="0028730E" w:rsidRPr="006638EA" w:rsidRDefault="006638EA" w:rsidP="006638EA">
            <w:pPr>
              <w:pStyle w:val="Listenabsatz"/>
              <w:ind w:left="0"/>
              <w:jc w:val="center"/>
              <w:rPr>
                <w:i/>
                <w:lang w:val="en-GB"/>
              </w:rPr>
            </w:pPr>
            <w:r w:rsidRPr="006638EA">
              <w:rPr>
                <w:i/>
                <w:lang w:val="en-GB"/>
              </w:rPr>
              <w:t>Two bits representing the state</w:t>
            </w:r>
          </w:p>
        </w:tc>
      </w:tr>
      <w:tr w:rsidR="0028730E" w:rsidTr="006638EA">
        <w:tc>
          <w:tcPr>
            <w:tcW w:w="1537" w:type="dxa"/>
            <w:tcBorders>
              <w:top w:val="nil"/>
              <w:left w:val="nil"/>
              <w:bottom w:val="nil"/>
              <w:right w:val="single" w:sz="4" w:space="0" w:color="auto"/>
            </w:tcBorders>
          </w:tcPr>
          <w:p w:rsidR="0028730E" w:rsidRPr="006638EA" w:rsidRDefault="006638EA" w:rsidP="006638EA">
            <w:pPr>
              <w:pStyle w:val="Listenabsatz"/>
              <w:ind w:left="0"/>
              <w:jc w:val="right"/>
              <w:rPr>
                <w:color w:val="538135" w:themeColor="accent6" w:themeShade="BF"/>
                <w:lang w:val="en-GB"/>
              </w:rPr>
            </w:pPr>
            <w:r w:rsidRPr="006638EA">
              <w:rPr>
                <w:color w:val="538135" w:themeColor="accent6" w:themeShade="BF"/>
                <w:lang w:val="en-GB"/>
              </w:rPr>
              <w:t>00000</w:t>
            </w:r>
          </w:p>
        </w:tc>
        <w:tc>
          <w:tcPr>
            <w:tcW w:w="3544" w:type="dxa"/>
            <w:tcBorders>
              <w:left w:val="single" w:sz="4" w:space="0" w:color="auto"/>
            </w:tcBorders>
          </w:tcPr>
          <w:p w:rsidR="0028730E" w:rsidRDefault="006638EA" w:rsidP="0028730E">
            <w:pPr>
              <w:pStyle w:val="Listenabsatz"/>
              <w:ind w:left="0"/>
              <w:rPr>
                <w:lang w:val="en-GB"/>
              </w:rPr>
            </w:pPr>
            <w:r>
              <w:rPr>
                <w:lang w:val="en-GB"/>
              </w:rPr>
              <w:t>00</w:t>
            </w:r>
          </w:p>
        </w:tc>
      </w:tr>
      <w:tr w:rsidR="0028730E" w:rsidTr="006638EA">
        <w:tc>
          <w:tcPr>
            <w:tcW w:w="1537" w:type="dxa"/>
            <w:tcBorders>
              <w:top w:val="nil"/>
              <w:left w:val="nil"/>
              <w:bottom w:val="nil"/>
              <w:right w:val="single" w:sz="4" w:space="0" w:color="auto"/>
            </w:tcBorders>
          </w:tcPr>
          <w:p w:rsidR="0028730E" w:rsidRPr="006638EA" w:rsidRDefault="006638EA" w:rsidP="006638EA">
            <w:pPr>
              <w:pStyle w:val="Listenabsatz"/>
              <w:ind w:left="0"/>
              <w:jc w:val="right"/>
              <w:rPr>
                <w:color w:val="538135" w:themeColor="accent6" w:themeShade="BF"/>
                <w:lang w:val="en-GB"/>
              </w:rPr>
            </w:pPr>
            <w:r w:rsidRPr="006638EA">
              <w:rPr>
                <w:color w:val="538135" w:themeColor="accent6" w:themeShade="BF"/>
                <w:lang w:val="en-GB"/>
              </w:rPr>
              <w:t>00001</w:t>
            </w:r>
          </w:p>
        </w:tc>
        <w:tc>
          <w:tcPr>
            <w:tcW w:w="3544" w:type="dxa"/>
            <w:tcBorders>
              <w:left w:val="single" w:sz="4" w:space="0" w:color="auto"/>
            </w:tcBorders>
          </w:tcPr>
          <w:p w:rsidR="0028730E" w:rsidRDefault="006638EA" w:rsidP="0028730E">
            <w:pPr>
              <w:pStyle w:val="Listenabsatz"/>
              <w:ind w:left="0"/>
              <w:rPr>
                <w:lang w:val="en-GB"/>
              </w:rPr>
            </w:pPr>
            <w:r>
              <w:rPr>
                <w:lang w:val="en-GB"/>
              </w:rPr>
              <w:t>10</w:t>
            </w:r>
          </w:p>
        </w:tc>
      </w:tr>
      <w:tr w:rsidR="0028730E" w:rsidTr="006638EA">
        <w:tc>
          <w:tcPr>
            <w:tcW w:w="1537" w:type="dxa"/>
            <w:tcBorders>
              <w:top w:val="nil"/>
              <w:left w:val="nil"/>
              <w:bottom w:val="nil"/>
              <w:right w:val="single" w:sz="4" w:space="0" w:color="auto"/>
            </w:tcBorders>
          </w:tcPr>
          <w:p w:rsidR="0028730E" w:rsidRPr="006638EA" w:rsidRDefault="006638EA" w:rsidP="006638EA">
            <w:pPr>
              <w:pStyle w:val="Listenabsatz"/>
              <w:ind w:left="0"/>
              <w:jc w:val="right"/>
              <w:rPr>
                <w:color w:val="538135" w:themeColor="accent6" w:themeShade="BF"/>
                <w:lang w:val="en-GB"/>
              </w:rPr>
            </w:pPr>
            <w:r w:rsidRPr="006638EA">
              <w:rPr>
                <w:color w:val="538135" w:themeColor="accent6" w:themeShade="BF"/>
                <w:lang w:val="en-GB"/>
              </w:rPr>
              <w:t>00010</w:t>
            </w:r>
          </w:p>
        </w:tc>
        <w:tc>
          <w:tcPr>
            <w:tcW w:w="3544" w:type="dxa"/>
            <w:tcBorders>
              <w:left w:val="single" w:sz="4" w:space="0" w:color="auto"/>
            </w:tcBorders>
          </w:tcPr>
          <w:p w:rsidR="0028730E" w:rsidRDefault="006638EA" w:rsidP="0028730E">
            <w:pPr>
              <w:pStyle w:val="Listenabsatz"/>
              <w:ind w:left="0"/>
              <w:rPr>
                <w:lang w:val="en-GB"/>
              </w:rPr>
            </w:pPr>
            <w:r>
              <w:rPr>
                <w:lang w:val="en-GB"/>
              </w:rPr>
              <w:t>10</w:t>
            </w:r>
          </w:p>
        </w:tc>
      </w:tr>
      <w:tr w:rsidR="0028730E" w:rsidTr="006638EA">
        <w:tc>
          <w:tcPr>
            <w:tcW w:w="1537" w:type="dxa"/>
            <w:tcBorders>
              <w:top w:val="nil"/>
              <w:left w:val="nil"/>
              <w:bottom w:val="nil"/>
              <w:right w:val="single" w:sz="4" w:space="0" w:color="auto"/>
            </w:tcBorders>
          </w:tcPr>
          <w:p w:rsidR="0028730E" w:rsidRPr="006638EA" w:rsidRDefault="006638EA" w:rsidP="006638EA">
            <w:pPr>
              <w:pStyle w:val="Listenabsatz"/>
              <w:ind w:left="0"/>
              <w:jc w:val="right"/>
              <w:rPr>
                <w:color w:val="538135" w:themeColor="accent6" w:themeShade="BF"/>
                <w:lang w:val="en-GB"/>
              </w:rPr>
            </w:pPr>
            <w:r w:rsidRPr="006638EA">
              <w:rPr>
                <w:color w:val="538135" w:themeColor="accent6" w:themeShade="BF"/>
                <w:lang w:val="en-GB"/>
              </w:rPr>
              <w:t>00011</w:t>
            </w:r>
          </w:p>
        </w:tc>
        <w:tc>
          <w:tcPr>
            <w:tcW w:w="3544" w:type="dxa"/>
            <w:tcBorders>
              <w:left w:val="single" w:sz="4" w:space="0" w:color="auto"/>
            </w:tcBorders>
          </w:tcPr>
          <w:p w:rsidR="0028730E" w:rsidRDefault="006638EA" w:rsidP="0028730E">
            <w:pPr>
              <w:pStyle w:val="Listenabsatz"/>
              <w:ind w:left="0"/>
              <w:rPr>
                <w:lang w:val="en-GB"/>
              </w:rPr>
            </w:pPr>
            <w:r>
              <w:rPr>
                <w:lang w:val="en-GB"/>
              </w:rPr>
              <w:t>00</w:t>
            </w:r>
          </w:p>
        </w:tc>
      </w:tr>
      <w:tr w:rsidR="0028730E" w:rsidTr="006638EA">
        <w:tc>
          <w:tcPr>
            <w:tcW w:w="1537" w:type="dxa"/>
            <w:tcBorders>
              <w:top w:val="nil"/>
              <w:left w:val="nil"/>
              <w:bottom w:val="nil"/>
              <w:right w:val="single" w:sz="4" w:space="0" w:color="auto"/>
            </w:tcBorders>
          </w:tcPr>
          <w:p w:rsidR="0028730E" w:rsidRPr="006638EA" w:rsidRDefault="006638EA" w:rsidP="006638EA">
            <w:pPr>
              <w:pStyle w:val="Listenabsatz"/>
              <w:ind w:left="0"/>
              <w:jc w:val="right"/>
              <w:rPr>
                <w:color w:val="538135" w:themeColor="accent6" w:themeShade="BF"/>
                <w:lang w:val="en-GB"/>
              </w:rPr>
            </w:pPr>
            <w:r w:rsidRPr="006638EA">
              <w:rPr>
                <w:color w:val="538135" w:themeColor="accent6" w:themeShade="BF"/>
                <w:lang w:val="en-GB"/>
              </w:rPr>
              <w:t>00100</w:t>
            </w:r>
          </w:p>
        </w:tc>
        <w:tc>
          <w:tcPr>
            <w:tcW w:w="3544" w:type="dxa"/>
            <w:tcBorders>
              <w:left w:val="single" w:sz="4" w:space="0" w:color="auto"/>
            </w:tcBorders>
          </w:tcPr>
          <w:p w:rsidR="0028730E" w:rsidRDefault="006638EA" w:rsidP="0028730E">
            <w:pPr>
              <w:pStyle w:val="Listenabsatz"/>
              <w:ind w:left="0"/>
              <w:rPr>
                <w:lang w:val="en-GB"/>
              </w:rPr>
            </w:pPr>
            <w:r>
              <w:rPr>
                <w:lang w:val="en-GB"/>
              </w:rPr>
              <w:t>11</w:t>
            </w:r>
          </w:p>
        </w:tc>
      </w:tr>
      <w:tr w:rsidR="0028730E" w:rsidTr="006638EA">
        <w:tc>
          <w:tcPr>
            <w:tcW w:w="1537" w:type="dxa"/>
            <w:tcBorders>
              <w:top w:val="nil"/>
              <w:left w:val="nil"/>
              <w:bottom w:val="nil"/>
              <w:right w:val="single" w:sz="4" w:space="0" w:color="auto"/>
            </w:tcBorders>
          </w:tcPr>
          <w:p w:rsidR="0028730E" w:rsidRPr="006638EA" w:rsidRDefault="006638EA" w:rsidP="006638EA">
            <w:pPr>
              <w:pStyle w:val="Listenabsatz"/>
              <w:ind w:left="0"/>
              <w:jc w:val="right"/>
              <w:rPr>
                <w:color w:val="538135" w:themeColor="accent6" w:themeShade="BF"/>
                <w:lang w:val="en-GB"/>
              </w:rPr>
            </w:pPr>
            <w:r w:rsidRPr="006638EA">
              <w:rPr>
                <w:color w:val="538135" w:themeColor="accent6" w:themeShade="BF"/>
                <w:lang w:val="en-GB"/>
              </w:rPr>
              <w:t>00101</w:t>
            </w:r>
          </w:p>
        </w:tc>
        <w:tc>
          <w:tcPr>
            <w:tcW w:w="3544" w:type="dxa"/>
            <w:tcBorders>
              <w:left w:val="single" w:sz="4" w:space="0" w:color="auto"/>
            </w:tcBorders>
          </w:tcPr>
          <w:p w:rsidR="0028730E" w:rsidRDefault="006638EA" w:rsidP="0028730E">
            <w:pPr>
              <w:pStyle w:val="Listenabsatz"/>
              <w:ind w:left="0"/>
              <w:rPr>
                <w:lang w:val="en-GB"/>
              </w:rPr>
            </w:pPr>
            <w:r>
              <w:rPr>
                <w:lang w:val="en-GB"/>
              </w:rPr>
              <w:t>01</w:t>
            </w:r>
          </w:p>
        </w:tc>
      </w:tr>
      <w:tr w:rsidR="0028730E" w:rsidTr="006638EA">
        <w:tc>
          <w:tcPr>
            <w:tcW w:w="1537" w:type="dxa"/>
            <w:tcBorders>
              <w:top w:val="nil"/>
              <w:left w:val="nil"/>
              <w:bottom w:val="nil"/>
              <w:right w:val="single" w:sz="4" w:space="0" w:color="auto"/>
            </w:tcBorders>
          </w:tcPr>
          <w:p w:rsidR="0028730E" w:rsidRPr="006638EA" w:rsidRDefault="006638EA" w:rsidP="006638EA">
            <w:pPr>
              <w:pStyle w:val="Listenabsatz"/>
              <w:ind w:left="0"/>
              <w:jc w:val="right"/>
              <w:rPr>
                <w:color w:val="538135" w:themeColor="accent6" w:themeShade="BF"/>
                <w:lang w:val="en-GB"/>
              </w:rPr>
            </w:pPr>
            <w:r w:rsidRPr="006638EA">
              <w:rPr>
                <w:color w:val="538135" w:themeColor="accent6" w:themeShade="BF"/>
                <w:lang w:val="en-GB"/>
              </w:rPr>
              <w:t>…</w:t>
            </w:r>
          </w:p>
        </w:tc>
        <w:tc>
          <w:tcPr>
            <w:tcW w:w="3544" w:type="dxa"/>
            <w:tcBorders>
              <w:left w:val="single" w:sz="4" w:space="0" w:color="auto"/>
            </w:tcBorders>
          </w:tcPr>
          <w:p w:rsidR="0028730E" w:rsidRDefault="006638EA" w:rsidP="0028730E">
            <w:pPr>
              <w:pStyle w:val="Listenabsatz"/>
              <w:ind w:left="0"/>
              <w:rPr>
                <w:lang w:val="en-GB"/>
              </w:rPr>
            </w:pPr>
            <w:r>
              <w:rPr>
                <w:lang w:val="en-GB"/>
              </w:rPr>
              <w:t>…</w:t>
            </w:r>
          </w:p>
        </w:tc>
      </w:tr>
      <w:tr w:rsidR="006638EA" w:rsidTr="006638EA">
        <w:tc>
          <w:tcPr>
            <w:tcW w:w="1537" w:type="dxa"/>
            <w:tcBorders>
              <w:top w:val="nil"/>
              <w:left w:val="nil"/>
              <w:bottom w:val="nil"/>
              <w:right w:val="single" w:sz="4" w:space="0" w:color="auto"/>
            </w:tcBorders>
          </w:tcPr>
          <w:p w:rsidR="006638EA" w:rsidRPr="006638EA" w:rsidRDefault="006638EA" w:rsidP="006638EA">
            <w:pPr>
              <w:pStyle w:val="Listenabsatz"/>
              <w:ind w:left="0"/>
              <w:jc w:val="right"/>
              <w:rPr>
                <w:color w:val="538135" w:themeColor="accent6" w:themeShade="BF"/>
                <w:lang w:val="en-GB"/>
              </w:rPr>
            </w:pPr>
            <w:r w:rsidRPr="006638EA">
              <w:rPr>
                <w:color w:val="538135" w:themeColor="accent6" w:themeShade="BF"/>
                <w:lang w:val="en-GB"/>
              </w:rPr>
              <w:t>11111</w:t>
            </w:r>
          </w:p>
        </w:tc>
        <w:tc>
          <w:tcPr>
            <w:tcW w:w="3544" w:type="dxa"/>
            <w:tcBorders>
              <w:left w:val="single" w:sz="4" w:space="0" w:color="auto"/>
            </w:tcBorders>
          </w:tcPr>
          <w:p w:rsidR="006638EA" w:rsidRDefault="006638EA" w:rsidP="0028730E">
            <w:pPr>
              <w:pStyle w:val="Listenabsatz"/>
              <w:ind w:left="0"/>
              <w:rPr>
                <w:lang w:val="en-GB"/>
              </w:rPr>
            </w:pPr>
            <w:r>
              <w:rPr>
                <w:lang w:val="en-GB"/>
              </w:rPr>
              <w:t>11</w:t>
            </w:r>
          </w:p>
        </w:tc>
      </w:tr>
    </w:tbl>
    <w:p w:rsidR="0028730E" w:rsidRDefault="006638EA" w:rsidP="006638EA">
      <w:pPr>
        <w:pStyle w:val="Listenabsatz"/>
        <w:numPr>
          <w:ilvl w:val="0"/>
          <w:numId w:val="1"/>
        </w:numPr>
      </w:pPr>
      <w:r w:rsidRPr="006638EA">
        <w:t xml:space="preserve">Register Files: Im Projektordner hdl gibt es die Entity </w:t>
      </w:r>
      <w:r>
        <w:t>regfile, die in der Datei regfile.vhd implementiert ist. Wie kann diese am besten eingesetzt werden?</w:t>
      </w:r>
    </w:p>
    <w:p w:rsidR="006638EA" w:rsidRDefault="006638EA" w:rsidP="006638EA">
      <w:pPr>
        <w:pStyle w:val="Listenabsatz"/>
        <w:numPr>
          <w:ilvl w:val="1"/>
          <w:numId w:val="1"/>
        </w:numPr>
      </w:pPr>
      <w:r>
        <w:t>Über ein write enable Signal we3 wird das Schreiben gesteuert. Nur wenn dieses Signal aktiviert ist, dann wird geschrieben. Das Signal wa3 gibt die Adresse (Index) an, welcher Eintrag geändert werden soll. Das Signal wd3 enthält das neue Wort, welches ins Register geschrieben wird.</w:t>
      </w:r>
    </w:p>
    <w:p w:rsidR="0028730E" w:rsidRPr="006638EA" w:rsidRDefault="006638EA" w:rsidP="00694BB6">
      <w:pPr>
        <w:pStyle w:val="Listenabsatz"/>
        <w:numPr>
          <w:ilvl w:val="1"/>
          <w:numId w:val="1"/>
        </w:numPr>
      </w:pPr>
      <w:r>
        <w:t>Wozu gibt es jeweils zwei rd und ra Signale?</w:t>
      </w:r>
      <w:bookmarkStart w:id="0" w:name="_GoBack"/>
      <w:bookmarkEnd w:id="0"/>
    </w:p>
    <w:p w:rsidR="0028730E" w:rsidRPr="006638EA" w:rsidRDefault="0028730E" w:rsidP="00694BB6"/>
    <w:p w:rsidR="0028730E" w:rsidRPr="006638EA" w:rsidRDefault="0028730E" w:rsidP="00694BB6"/>
    <w:p w:rsidR="0028730E" w:rsidRPr="006638EA" w:rsidRDefault="0028730E" w:rsidP="00694BB6"/>
    <w:p w:rsidR="0028730E" w:rsidRPr="006638EA" w:rsidRDefault="0028730E" w:rsidP="00694BB6"/>
    <w:p w:rsidR="0028730E" w:rsidRPr="006638EA" w:rsidRDefault="0028730E" w:rsidP="00694BB6"/>
    <w:p w:rsidR="0028730E" w:rsidRPr="006638EA" w:rsidRDefault="0028730E" w:rsidP="00694BB6"/>
    <w:p w:rsidR="0028730E" w:rsidRPr="006638EA" w:rsidRDefault="0028730E" w:rsidP="00694BB6"/>
    <w:p w:rsidR="0028730E" w:rsidRPr="006638EA" w:rsidRDefault="0028730E">
      <w:r>
        <w:rPr>
          <w:noProof/>
          <w:lang w:eastAsia="de-DE"/>
        </w:rPr>
        <w:lastRenderedPageBreak/>
        <w:drawing>
          <wp:inline distT="0" distB="0" distL="0" distR="0">
            <wp:extent cx="5760720" cy="7924800"/>
            <wp:effectExtent l="0" t="0" r="0" b="0"/>
            <wp:docPr id="1" name="Grafik 1" descr="C:\Users\carst\AppData\Local\Microsoft\Windows\INetCache\Content.Word\B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st\AppData\Local\Microsoft\Windows\INetCache\Content.Word\Bil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924800"/>
                    </a:xfrm>
                    <a:prstGeom prst="rect">
                      <a:avLst/>
                    </a:prstGeom>
                    <a:noFill/>
                    <a:ln>
                      <a:noFill/>
                    </a:ln>
                  </pic:spPr>
                </pic:pic>
              </a:graphicData>
            </a:graphic>
          </wp:inline>
        </w:drawing>
      </w:r>
      <w:r>
        <w:rPr>
          <w:noProof/>
          <w:lang w:eastAsia="de-DE"/>
        </w:rPr>
        <w:lastRenderedPageBreak/>
        <w:drawing>
          <wp:inline distT="0" distB="0" distL="0" distR="0">
            <wp:extent cx="5760720" cy="7924800"/>
            <wp:effectExtent l="0" t="0" r="0" b="0"/>
            <wp:docPr id="2" name="Grafik 2" descr="C:\Users\carst\AppData\Local\Microsoft\Windows\INetCache\Content.Word\Bil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st\AppData\Local\Microsoft\Windows\INetCache\Content.Word\Bild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7924800"/>
                    </a:xfrm>
                    <a:prstGeom prst="rect">
                      <a:avLst/>
                    </a:prstGeom>
                    <a:noFill/>
                    <a:ln>
                      <a:noFill/>
                    </a:ln>
                  </pic:spPr>
                </pic:pic>
              </a:graphicData>
            </a:graphic>
          </wp:inline>
        </w:drawing>
      </w:r>
    </w:p>
    <w:sectPr w:rsidR="0028730E" w:rsidRPr="006638EA">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837" w:rsidRDefault="000C2837" w:rsidP="0028730E">
      <w:pPr>
        <w:spacing w:after="0" w:line="240" w:lineRule="auto"/>
      </w:pPr>
      <w:r>
        <w:separator/>
      </w:r>
    </w:p>
  </w:endnote>
  <w:endnote w:type="continuationSeparator" w:id="0">
    <w:p w:rsidR="000C2837" w:rsidRDefault="000C2837" w:rsidP="00287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30E" w:rsidRDefault="0028730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536275"/>
      <w:docPartObj>
        <w:docPartGallery w:val="Page Numbers (Bottom of Page)"/>
        <w:docPartUnique/>
      </w:docPartObj>
    </w:sdtPr>
    <w:sdtContent>
      <w:p w:rsidR="0028730E" w:rsidRDefault="0028730E">
        <w:pPr>
          <w:pStyle w:val="Fuzeile"/>
          <w:jc w:val="center"/>
        </w:pPr>
        <w:r>
          <w:fldChar w:fldCharType="begin"/>
        </w:r>
        <w:r>
          <w:instrText>PAGE   \* MERGEFORMAT</w:instrText>
        </w:r>
        <w:r>
          <w:fldChar w:fldCharType="separate"/>
        </w:r>
        <w:r w:rsidR="006638EA">
          <w:rPr>
            <w:noProof/>
          </w:rPr>
          <w:t>3</w:t>
        </w:r>
        <w:r>
          <w:fldChar w:fldCharType="end"/>
        </w:r>
      </w:p>
    </w:sdtContent>
  </w:sdt>
  <w:p w:rsidR="0028730E" w:rsidRDefault="0028730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30E" w:rsidRDefault="002873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837" w:rsidRDefault="000C2837" w:rsidP="0028730E">
      <w:pPr>
        <w:spacing w:after="0" w:line="240" w:lineRule="auto"/>
      </w:pPr>
      <w:r>
        <w:separator/>
      </w:r>
    </w:p>
  </w:footnote>
  <w:footnote w:type="continuationSeparator" w:id="0">
    <w:p w:rsidR="000C2837" w:rsidRDefault="000C2837" w:rsidP="002873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30E" w:rsidRDefault="002873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30E" w:rsidRDefault="0028730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30E" w:rsidRDefault="002873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47C9F"/>
    <w:multiLevelType w:val="hybridMultilevel"/>
    <w:tmpl w:val="87F421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BB6"/>
    <w:rsid w:val="000C2837"/>
    <w:rsid w:val="0028730E"/>
    <w:rsid w:val="00404C1B"/>
    <w:rsid w:val="004226B5"/>
    <w:rsid w:val="006638EA"/>
    <w:rsid w:val="00694BB6"/>
    <w:rsid w:val="00AA00BE"/>
    <w:rsid w:val="00FB7E7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DF51"/>
  <w15:chartTrackingRefBased/>
  <w15:docId w15:val="{58AE169C-F0B1-4D2B-B0AA-82C10F1F2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94B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94B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94BB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694BB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694BB6"/>
    <w:pPr>
      <w:ind w:left="720"/>
      <w:contextualSpacing/>
    </w:pPr>
  </w:style>
  <w:style w:type="table" w:styleId="Tabellenraster">
    <w:name w:val="Table Grid"/>
    <w:basedOn w:val="NormaleTabelle"/>
    <w:uiPriority w:val="39"/>
    <w:rsid w:val="00694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28730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730E"/>
  </w:style>
  <w:style w:type="paragraph" w:styleId="Fuzeile">
    <w:name w:val="footer"/>
    <w:basedOn w:val="Standard"/>
    <w:link w:val="FuzeileZchn"/>
    <w:uiPriority w:val="99"/>
    <w:unhideWhenUsed/>
    <w:rsid w:val="0028730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164</Words>
  <Characters>1039</Characters>
  <Application>Microsoft Office Word</Application>
  <DocSecurity>0</DocSecurity>
  <Lines>8</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Carsten Hoppe</dc:creator>
  <cp:keywords/>
  <dc:description/>
  <cp:lastModifiedBy>Carsten Hoppe</cp:lastModifiedBy>
  <cp:revision>1</cp:revision>
  <dcterms:created xsi:type="dcterms:W3CDTF">2017-03-30T13:33:00Z</dcterms:created>
  <dcterms:modified xsi:type="dcterms:W3CDTF">2017-03-30T14:18:00Z</dcterms:modified>
</cp:coreProperties>
</file>