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7567"/>
          </w:tcPr>
          <w:p>
            <w:pPr>
              <w:jc w:val="center"/>
            </w:pPr>
            <w:r>
              <w:rPr>
                <w:sz w:val="21"/>
              </w:rPr>
              <w:t>SỞ GIÁO DỤC VÀ ĐÀO TẠO CAO BẰNG</w:t>
              <w:br/>
            </w:r>
            <w:r>
              <w:rPr>
                <w:b/>
                <w:sz w:val="22"/>
              </w:rPr>
              <w:t>TRƯỜNG THPT PHỤC HÒA</w:t>
              <w:br/>
            </w:r>
            <w:r>
              <w:rPr>
                <w:sz w:val="20"/>
              </w:rPr>
              <w:t>TỔ: TỰ NHIÊN — NHÓM TIN HỌC</w:t>
              <w:br/>
            </w:r>
            <w:r>
              <w:rPr>
                <w:sz w:val="18"/>
              </w:rPr>
              <w:t>─────***─────</w:t>
            </w:r>
          </w:p>
        </w:tc>
        <w:tc>
          <w:tcPr>
            <w:tcW w:type="dxa" w:w="7567"/>
          </w:tcPr>
          <w:p>
            <w:pPr>
              <w:jc w:val="center"/>
            </w:pPr>
            <w:r>
              <w:rPr>
                <w:b/>
                <w:sz w:val="24"/>
              </w:rPr>
              <w:t>MA TRẬN &amp; BẢNG ĐẶC TẢ ĐỀ KIỂM TRA GIỮA HỌC KỲ I</w:t>
              <w:br/>
            </w:r>
            <w:r>
              <w:rPr>
                <w:b/>
                <w:sz w:val="22"/>
              </w:rPr>
              <w:t>MÔN: TIN HỌC 10 — KẾT NỐI TRI THỨC VỚI CUỘC SỐNG</w:t>
              <w:br/>
            </w:r>
            <w:r>
              <w:rPr>
                <w:i/>
                <w:sz w:val="22"/>
              </w:rPr>
              <w:t>Môn: TIN HỌC 10 — Sách Kết Nối Tri Thức</w:t>
              <w:br/>
            </w:r>
            <w:r>
              <w:rPr>
                <w:i/>
                <w:sz w:val="20"/>
              </w:rPr>
              <w:t>Thời gian làm bài: 45 phút (Không kể giao đề)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tted" w:sz="4" w:space="0" w:color="718096"/>
          <w:bottom w:val="dotted" w:sz="4" w:space="0" w:color="718096"/>
          <w:left w:val="dotted" w:sz="4" w:space="0" w:color="718096"/>
          <w:right w:val="dotted" w:sz="4" w:space="0" w:color="718096"/>
          <w:insideH w:val="dotted" w:sz="4" w:space="0" w:color="718096"/>
          <w:insideV w:val="dotted" w:sz="4" w:space="0" w:color="718096"/>
        </w:tblBorders>
      </w:tblPr>
      <w:tblGrid>
        <w:gridCol w:w="6480"/>
        <w:gridCol w:w="3600"/>
      </w:tblGrid>
      <w:tr>
        <w:tc>
          <w:tcPr>
            <w:tcW w:type="dxa" w:w="75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Họ và tên học sinh: ................................................................</w:t>
            </w:r>
          </w:p>
        </w:tc>
        <w:tc>
          <w:tcPr>
            <w:tcW w:type="dxa" w:w="75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Lớp: ........................</w:t>
            </w:r>
          </w:p>
        </w:tc>
      </w:tr>
      <w:tr>
        <w:tc>
          <w:tcPr>
            <w:tcW w:type="dxa" w:w="75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Số báo danh / Mã HS: ............................................................</w:t>
            </w:r>
          </w:p>
        </w:tc>
        <w:tc>
          <w:tcPr>
            <w:tcW w:type="dxa" w:w="75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4"/>
              </w:rPr>
              <w:t>MÃ ĐỀ: 101</w:t>
            </w:r>
          </w:p>
        </w:tc>
      </w:tr>
    </w:tbl>
    <w:p>
      <w:pPr>
        <w:jc w:val="center"/>
      </w:pPr>
      <w:r>
        <w:rPr>
          <w:color w:val="A0AEC0"/>
        </w:rPr>
        <w:t>───────────────────────────────────────────────────</w:t>
      </w:r>
    </w:p>
    <w:p>
      <w:r>
        <w:rPr>
          <w:b/>
          <w:color w:val="104B8C"/>
          <w:sz w:val="26"/>
        </w:rPr>
        <w:t>I. KHUNG MA TRẬN ĐỀ KIỂM TRA GIỮA HỌC KỲ I (45 PHÚT)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5568"/>
          <w:bottom w:val="single" w:sz="4" w:space="0" w:color="4A5568"/>
          <w:left w:val="single" w:sz="4" w:space="0" w:color="4A5568"/>
          <w:right w:val="single" w:sz="4" w:space="0" w:color="4A5568"/>
          <w:insideH w:val="single" w:sz="4" w:space="0" w:color="4A5568"/>
          <w:insideV w:val="single" w:sz="4" w:space="0" w:color="4A5568"/>
        </w:tblBorders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9"/>
            <w:vMerge w:val="restart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TT</w:t>
            </w:r>
          </w:p>
        </w:tc>
        <w:tc>
          <w:tcPr>
            <w:tcW w:type="dxa" w:w="1009"/>
            <w:vMerge w:val="restart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Chủ đề / Nội dung kiến thức</w:t>
            </w:r>
          </w:p>
        </w:tc>
        <w:tc>
          <w:tcPr>
            <w:tcW w:type="dxa" w:w="8072"/>
            <w:gridSpan w:val="8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Mức độ nhận thức</w:t>
            </w:r>
          </w:p>
        </w:tc>
        <w:tc>
          <w:tcPr>
            <w:tcW w:type="dxa" w:w="3027"/>
            <w:gridSpan w:val="3"/>
            <w:vMerge w:val="restart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Tổng số câu/ý</w:t>
            </w:r>
          </w:p>
        </w:tc>
        <w:tc>
          <w:tcPr>
            <w:tcW w:type="dxa" w:w="1009"/>
            <w:vMerge w:val="restart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Tổng điểm</w:t>
            </w:r>
          </w:p>
        </w:tc>
        <w:tc>
          <w:tcPr>
            <w:tcW w:type="dxa" w:w="1009"/>
            <w:vMerge w:val="restart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Tỉ lệ %</w:t>
            </w:r>
          </w:p>
        </w:tc>
      </w:tr>
      <w:tr>
        <w:tc>
          <w:tcPr>
            <w:tcW w:type="dxa" w:w="1009"/>
            <w:vMerge/>
          </w:tcPr>
          <w:p/>
        </w:tc>
        <w:tc>
          <w:tcPr>
            <w:tcW w:type="dxa" w:w="1009"/>
            <w:vMerge/>
          </w:tcPr>
          <w:p/>
        </w:tc>
        <w:tc>
          <w:tcPr>
            <w:tcW w:type="dxa" w:w="2018"/>
            <w:gridSpan w:val="2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Nhận biết</w:t>
            </w:r>
          </w:p>
        </w:tc>
        <w:tc>
          <w:tcPr>
            <w:tcW w:type="dxa" w:w="2018"/>
            <w:gridSpan w:val="2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Thông hiểu</w:t>
            </w:r>
          </w:p>
        </w:tc>
        <w:tc>
          <w:tcPr>
            <w:tcW w:type="dxa" w:w="3027"/>
            <w:gridSpan w:val="3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Vận dụng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Vận dụng cao</w:t>
            </w:r>
          </w:p>
        </w:tc>
        <w:tc>
          <w:tcPr>
            <w:tcW w:type="dxa" w:w="3027"/>
            <w:gridSpan w:val="3"/>
            <w:vMerge/>
          </w:tcPr>
          <w:p/>
        </w:tc>
        <w:tc>
          <w:tcPr>
            <w:tcW w:type="dxa" w:w="1009"/>
            <w:vMerge/>
          </w:tcPr>
          <w:p/>
        </w:tc>
        <w:tc>
          <w:tcPr>
            <w:tcW w:type="dxa" w:w="1009"/>
            <w:vMerge/>
          </w:tcPr>
          <w:p/>
        </w:tc>
      </w:tr>
      <w:tr>
        <w:tc>
          <w:tcPr>
            <w:tcW w:type="dxa" w:w="1009"/>
            <w:vMerge/>
          </w:tcPr>
          <w:p/>
        </w:tc>
        <w:tc>
          <w:tcPr>
            <w:tcW w:type="dxa" w:w="1009"/>
            <w:vMerge/>
          </w:tcPr>
          <w:p/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TNKQ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Đ/S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TNKQ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Đ/S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TNKQ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Đ/S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TL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TL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TNKQ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Đ/S</w:t>
            </w:r>
          </w:p>
        </w:tc>
        <w:tc>
          <w:tcPr>
            <w:tcW w:type="dxa" w:w="1009"/>
            <w:vAlign w:val="center"/>
            <w:shd w:fill="E2E8F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TL</w:t>
            </w:r>
          </w:p>
        </w:tc>
        <w:tc>
          <w:tcPr>
            <w:tcW w:type="dxa" w:w="1009"/>
            <w:vMerge/>
          </w:tcPr>
          <w:p/>
        </w:tc>
        <w:tc>
          <w:tcPr>
            <w:tcW w:type="dxa" w:w="1009"/>
            <w:vMerge/>
          </w:tcPr>
          <w:p/>
        </w:tc>
      </w:tr>
      <w:tr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9"/>
              </w:rPr>
              <w:t>Chủ đề 1.1: Dữ liệu, thông tin và lưu trữ (Bài 1, 3, 4, 5, 6)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9"/>
              </w:rPr>
              <w:t>Chủ đề 1.2: Thiết bị thông minh &amp; Tin học trong đời sống (Bài 2, 7)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</w:tr>
      <w:tr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9"/>
              </w:rPr>
              <w:t>Chủ đề 2.1: Mạng máy tính, Internet, IoT &amp; Điện toán đám mây (Bài 8, 10)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</w:tr>
      <w:tr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9"/>
              </w:rPr>
              <w:t>Chủ đề 2.2: Dịch vụ mạng, an toàn mạng &amp; phòng chống mã độc (Bài 9, 11)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2.5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9"/>
              </w:rPr>
              <w:t>Chủ đề 3.1: Pháp luật trong môi trường số &amp; Bản quyền tác giả (Bài 11, 12)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</w:tr>
      <w:tr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sz w:val="19"/>
              </w:rPr>
              <w:t>Chủ đề 3.2: Ứng xử trên môi trường số &amp; Trách nhiệm chia sẻ (Bài 9, 11)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type="dxa" w:w="1009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</w:tr>
      <w:tr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TỔNG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Toàn bộ bài kiểm tra (12 bài)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10.0</w:t>
            </w:r>
          </w:p>
        </w:tc>
        <w:tc>
          <w:tcPr>
            <w:tcW w:type="dxa" w:w="1009"/>
            <w:vAlign w:val="center"/>
            <w:shd w:fill="CBD5E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100%</w:t>
            </w:r>
          </w:p>
        </w:tc>
      </w:tr>
    </w:tbl>
    <w:p>
      <w:pPr>
        <w:spacing w:before="120"/>
      </w:pPr>
      <w:r>
        <w:rPr>
          <w:i/>
          <w:sz w:val="19"/>
        </w:rPr>
        <w:t>* Ghi chú: Phần II (Đúng - Sai) gồm 4 câu, mỗi câu 4 ý = 16 ý. Thang điểm: đúng 1 ý = 0.1đ, 2 ý = 0.25đ, 3 ý = 0.5đ, 4 ý = 1.0đ/câu. Tỉ lệ nhận thức: Nhận biết 40% — Thông hiểu 30% — Vận dụng 30%.</w:t>
      </w:r>
    </w:p>
    <w:p>
      <w:r>
        <w:br w:type="page"/>
      </w:r>
    </w:p>
    <w:p>
      <w:r>
        <w:rPr>
          <w:b/>
          <w:color w:val="104B8C"/>
          <w:sz w:val="26"/>
        </w:rPr>
        <w:t>II. BẢNG ĐẶC TẢ KỸ THUẬT ĐỀ KIỂM TRA GIỮA HỌC KỲ 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5568"/>
          <w:bottom w:val="single" w:sz="4" w:space="0" w:color="4A5568"/>
          <w:left w:val="single" w:sz="4" w:space="0" w:color="4A5568"/>
          <w:right w:val="single" w:sz="4" w:space="0" w:color="4A5568"/>
          <w:insideH w:val="single" w:sz="4" w:space="0" w:color="4A5568"/>
          <w:insideV w:val="single" w:sz="4" w:space="0" w:color="4A5568"/>
        </w:tblBorders>
      </w:tblPr>
      <w:tblGrid>
        <w:gridCol w:w="864"/>
        <w:gridCol w:w="3168"/>
        <w:gridCol w:w="2592"/>
        <w:gridCol w:w="6480"/>
        <w:gridCol w:w="1728"/>
        <w:gridCol w:w="1152"/>
      </w:tblGrid>
      <w:tr>
        <w:tc>
          <w:tcPr>
            <w:tcW w:type="dxa" w:w="2522"/>
            <w:vAlign w:val="center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type="dxa" w:w="2522"/>
            <w:vAlign w:val="center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Nội dung kiến thức</w:t>
            </w:r>
          </w:p>
        </w:tc>
        <w:tc>
          <w:tcPr>
            <w:tcW w:type="dxa" w:w="2522"/>
            <w:vAlign w:val="center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Mức độ đánh giá</w:t>
            </w:r>
          </w:p>
        </w:tc>
        <w:tc>
          <w:tcPr>
            <w:tcW w:type="dxa" w:w="2522"/>
            <w:vAlign w:val="center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Yêu cầu cần đạt / Chuẩn kiến thức kĩ năng</w:t>
            </w:r>
          </w:p>
        </w:tc>
        <w:tc>
          <w:tcPr>
            <w:tcW w:type="dxa" w:w="2522"/>
            <w:vAlign w:val="center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Số câu hỏi</w:t>
            </w:r>
          </w:p>
        </w:tc>
        <w:tc>
          <w:tcPr>
            <w:tcW w:type="dxa" w:w="2522"/>
            <w:vAlign w:val="center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Điểm số</w:t>
            </w:r>
          </w:p>
        </w:tc>
      </w:tr>
      <w:tr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Dữ liệu, thông tin và lưu trữ (Bài 1, 3, 4, 5, 6)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– Thông hiểu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Nêu được sự ưu việt của thiết bị số trong lưu trữ dữ liệu; phân biệt thông tin và dữ liệu; tính toán quy đổi giữa các đơn vị đo dung lượng lưu trữ (B, KB, MB, GB, TB).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 TNKQ</w:t>
              <w:br/>
              <w:t>1 TL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1.50</w:t>
            </w:r>
          </w:p>
        </w:tc>
      </w:tr>
      <w:tr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Thiết bị thông minh và Tin học trong đời sống (Bài 2, 7)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– Thông hiểu – Vận dụng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thiết bị thông minh; giải thích được ảnh hưởng của Internet, máy tìm kiếm và AI; hiểu thông số cấu hình hệ thống máy tính (CPU, RAM); phản biện và phân biệt các thiết bị thông minh tự động.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3 TNKQ</w:t>
              <w:br/>
              <w:t>4 ý Đ/S (Câu 1)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2.00</w:t>
            </w:r>
          </w:p>
        </w:tc>
      </w:tr>
      <w:tr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Mạng máy tính, Internet, IoT &amp; Điện toán đám mây (Bài 8, 10)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– Thông hiểu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Nêu được đối tượng kết nối vào IoT; nêu 3 mô hình dịch vụ đám mây (IaaS, PaaS, SaaS); nhận biết công cụ bảo vệ mạng Tường lửa (Firewall); hiểu lợi ích và đặc điểm của nguồn học liệu mở OER.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4 TNKQ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1.00</w:t>
            </w:r>
          </w:p>
        </w:tc>
      </w:tr>
      <w:tr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Dịch vụ mạng, an toàn mạng &amp; phòng chống mã độc (Bài 9, 11)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– Thông hiểu – Vận dụng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Phân biệt phạm vi các loại mạng (LAN, WAN, Internet); nắm quy tắc đặt mật khẩu mạnh; nhận biết nguy cơ lộ dữ liệu cá nhân trên mạng xã hội; phân biệt HTTP và HTTPS; đề xuất giải pháp phòng tránh lừa đảo.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 TNKQ</w:t>
              <w:br/>
              <w:t>4 ý Đ/S (Câu 2)</w:t>
              <w:br/>
              <w:t>1 TL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2.50</w:t>
            </w:r>
          </w:p>
        </w:tc>
      </w:tr>
      <w:tr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Pháp luật trong môi trường số &amp; Bản quyền tác giả (Bài 11, 12)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– Thông hiểu – Vận dụng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các hành động tuân thủ hoặc vi phạm quyền tác giả đối với sản phẩm số; hiểu quyền sở hữu trí tuệ, bản quyền phần mềm; đánh giá tính hợp pháp khi sao chép tài liệu học tập cá nhân theo Luật SHTT.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 TNKQ</w:t>
              <w:br/>
              <w:t>4 ý Đ/S (Câu 3)</w:t>
              <w:br/>
              <w:t>1 TL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2.00</w:t>
            </w:r>
          </w:p>
        </w:tc>
      </w:tr>
      <w:tr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Ứng xử trên môi trường số &amp; Trách nhiệm chia sẻ (Bài 9, 11)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– Thông hiểu – Vận dụng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9"/>
              </w:rPr>
              <w:t>Nhận biết các quy định pháp luật về ứng xử trên mạng xã hội (Luật An ninh mạng); hiểu tác hại của việc lạm dụng Internet; nhận biết nguy cơ mã độc gián điệp Phishing/Trojan và trách nhiệm công dân số.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 TNKQ</w:t>
              <w:br/>
              <w:t>4 ý Đ/S (Câu 4)</w:t>
            </w:r>
          </w:p>
        </w:tc>
        <w:tc>
          <w:tcPr>
            <w:tcW w:type="dxa" w:w="252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9"/>
              </w:rPr>
              <w:t>1.00</w:t>
            </w:r>
          </w:p>
        </w:tc>
      </w:tr>
    </w:tbl>
    <w:sectPr w:rsidR="00FC693F" w:rsidRPr="0006063C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