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A2427F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A2427F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A2427F" w:rsidTr="0044506C">
        <w:tc>
          <w:tcPr>
            <w:tcW w:w="1795" w:type="dxa"/>
          </w:tcPr>
          <w:p w:rsidR="0044506C" w:rsidRPr="00A2427F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A2427F" w:rsidTr="0044506C">
        <w:tc>
          <w:tcPr>
            <w:tcW w:w="1795" w:type="dxa"/>
            <w:vMerge w:val="restart"/>
          </w:tcPr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A2427F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A2427F" w:rsidRDefault="003A7F0E">
          <w:pPr>
            <w:pStyle w:val="TOCHeading"/>
            <w:rPr>
              <w:lang w:val="vi-VN"/>
            </w:rPr>
          </w:pPr>
          <w:r w:rsidRPr="00A2427F">
            <w:rPr>
              <w:lang w:val="vi-VN"/>
            </w:rPr>
            <w:t>Mục lục</w:t>
          </w:r>
        </w:p>
        <w:p w:rsidR="00A2427F" w:rsidRPr="00A2427F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A2427F">
            <w:rPr>
              <w:sz w:val="20"/>
              <w:szCs w:val="20"/>
              <w:lang w:val="vi-VN"/>
            </w:rPr>
            <w:fldChar w:fldCharType="begin"/>
          </w:r>
          <w:r w:rsidRPr="00A2427F">
            <w:rPr>
              <w:sz w:val="20"/>
              <w:szCs w:val="20"/>
              <w:lang w:val="vi-VN"/>
            </w:rPr>
            <w:instrText xml:space="preserve"> TOC \o "1-3" \h \z \u </w:instrText>
          </w:r>
          <w:r w:rsidRPr="00A2427F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2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586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A2427F" w:rsidRDefault="003A7F0E">
          <w:pPr>
            <w:rPr>
              <w:sz w:val="20"/>
              <w:szCs w:val="20"/>
              <w:lang w:val="vi-VN"/>
            </w:rPr>
          </w:pPr>
          <w:r w:rsidRPr="00A2427F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D3F2B3" wp14:editId="3912808A">
            <wp:extent cx="59436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A2427F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A2427F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A2427F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đếm số lượng hàng còn lại trong kho.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số lượng của từng mặt hàng.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56710" w:rsidRPr="00A2427F" w:rsidRDefault="00D56710" w:rsidP="00D5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A2427F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A2427F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A2427F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A2427F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đơn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và phê duyệt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56710" w:rsidRPr="00A2427F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41701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quản lý thấy đơn hàng không hợp lý có thể 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bước 1</w:t>
            </w: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A2427F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A2427F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F1206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33754C" w:rsidRPr="00A2427F" w:rsidRDefault="0033754C" w:rsidP="0070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3754C" w:rsidRPr="00A2427F" w:rsidRDefault="0033754C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702D1F" w:rsidRPr="00A2427F" w:rsidRDefault="00702D1F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lại các mặt hàng bị khách hàng trả lại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loại sản phẩm có trả về cho nhà phân phối hay không.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danh sách các sản phẩm có thể trả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</w:tc>
      </w:tr>
    </w:tbl>
    <w:p w:rsidR="00702D1F" w:rsidRPr="00A2427F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A2427F" w:rsidRDefault="00F67182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cho từng nhà phân phối.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đến các nhà phân phối.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67182" w:rsidRPr="00A2427F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810564" w:rsidRPr="00A2427F" w:rsidRDefault="00810564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DA11DE" wp14:editId="69EC1C0E">
            <wp:extent cx="40481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FD3DF3" wp14:editId="0B3E463B">
            <wp:extent cx="4702010" cy="3990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9" cy="399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90CB0" wp14:editId="2F08B22D">
            <wp:extent cx="2935125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 b="1837"/>
                    <a:stretch/>
                  </pic:blipFill>
                  <pic:spPr bwMode="auto">
                    <a:xfrm>
                      <a:off x="0" y="0"/>
                      <a:ext cx="2939009" cy="33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83419" wp14:editId="7EE3956B">
            <wp:extent cx="4038394" cy="37433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" b="2933"/>
                    <a:stretch/>
                  </pic:blipFill>
                  <pic:spPr bwMode="auto">
                    <a:xfrm>
                      <a:off x="0" y="0"/>
                      <a:ext cx="4054303" cy="37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83143" wp14:editId="15B6E03D">
            <wp:extent cx="4256188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" b="5365"/>
                    <a:stretch/>
                  </pic:blipFill>
                  <pic:spPr bwMode="auto">
                    <a:xfrm>
                      <a:off x="0" y="0"/>
                      <a:ext cx="4266754" cy="32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CA" w:rsidRPr="00A2427F" w:rsidRDefault="00180BCA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C5323E" wp14:editId="5F254332">
            <wp:extent cx="36480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3"/>
    </w:p>
    <w:p w:rsidR="008662B0" w:rsidRPr="00A2427F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A2427F" w:rsidRDefault="008662B0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A9F341" wp14:editId="6BE5BF6E">
            <wp:extent cx="5483225" cy="351129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286" cy="35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8662B0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muốn phân loại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 của những khách hàng đó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của khách hàng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lại các bình luận mới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0F27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kết quả đã phân loại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lưu lại những bình luận đã được phân loại</w:t>
            </w:r>
          </w:p>
          <w:p w:rsidR="008662B0" w:rsidRPr="009D2525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tiến hành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: Tại bước 2, nếu như không có bình luận nào mới, thì tiến tới bước 6</w:t>
            </w:r>
          </w:p>
          <w:p w:rsidR="008662B0" w:rsidRPr="009D2525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Thống kê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có quản lý hoặc nhân viên bán hàng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 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những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nhằm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những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đã phân loại của công ty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xem có bình luận mới đã được phân loại chưa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7A3E5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bán hàng thực hiện tính toán và ghi lại những tính toán đó vào trong bảng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vẽ hoặc cập nhật lại biểu đồ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số liệu và biểu đồ đã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thực hiện lưu lại những thay đổi trong sổ sách</w:t>
            </w:r>
          </w:p>
          <w:p w:rsidR="008662B0" w:rsidRPr="000F27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6750" w:type="dxa"/>
          </w:tcPr>
          <w:p w:rsidR="008662B0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: Tại bước 2, nếu như không có bình luận nào mới, thì tiến tới bước 8</w:t>
            </w:r>
          </w:p>
          <w:p w:rsidR="008662B0" w:rsidRPr="001F090E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A7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bình luận đã phân loại và thống kê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thiệu: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kiểm tra lại kết quả phân loại và thống kê của nhân viên bán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lại sổ sách về những bình luận đã phân loại và thống kê của công ty</w:t>
            </w:r>
          </w:p>
          <w:p w:rsidR="008662B0" w:rsidRPr="000F275D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xem xét từng bình luận của khách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AF30C1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 w:rsidR="008662B0"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: Tại bước 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 xml:space="preserve">2, nếu như đang xem xét bình luận tốt thì có thể gọi tới nghiệp vụ </w:t>
            </w:r>
            <w:r w:rsidR="008662B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Cộng điểm cho khách hàng có bình luận tốt</w:t>
            </w:r>
          </w:p>
          <w:p w:rsidR="008662B0" w:rsidRPr="00A06AAA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 xml:space="preserve">: Tại bước 2, nếu như đang xem xét bình luận xấu thì có thể gọi tới nghiệp vụ </w:t>
            </w:r>
            <w:r w:rsidR="008662B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Xóa bình luận xấu và thêm email vào danh sách cấm</w:t>
            </w:r>
          </w:p>
          <w:p w:rsidR="008662B0" w:rsidRPr="000F275D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: Tại bước 1, nhân viên quản lý có thể chọn xem thống kê và tới bước 3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Xóa bình luận và thêm email vào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Giới thiệu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AF30C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xấu</w:t>
            </w:r>
          </w:p>
          <w:p w:rsidR="008662B0" w:rsidRPr="00AF30C1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8662B0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vào hệ thống bán hàng hiện tại tiến hành xóa bình luận của khách hàng ở sản phẩm đó</w:t>
            </w:r>
          </w:p>
          <w:p w:rsidR="008662B0" w:rsidRPr="000F275D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danh sách cấm bình luận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thêm email của người đó vào danh sách cấm bình luận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đóng danh sách cấm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A6</w:t>
            </w:r>
            <w:r w:rsidR="008662B0"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c 6</w:t>
            </w:r>
            <w:r w:rsidR="008662B0"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8662B0" w:rsidRPr="000F275D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A5</w:t>
            </w:r>
            <w:r w:rsidR="008662B0">
              <w:rPr>
                <w:rFonts w:ascii="Times New Roman" w:hAnsi="Times New Roman" w:cs="Times New Roman"/>
                <w:sz w:val="26"/>
                <w:szCs w:val="26"/>
              </w:rPr>
              <w:t>: Tại bước 5, nếu danh sách cấm đang mở thì qua luôn bước 6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Cộng điểm cho khách hàng có bình luận tốt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tích điểm cho khách hàng có đóng góp bình luận tốt</w:t>
            </w:r>
          </w:p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F82251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03F9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7003F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tốt</w:t>
            </w:r>
          </w:p>
          <w:p w:rsidR="00F82251" w:rsidRPr="00AF30C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F82251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mở sổ sách email của khách hàng</w:t>
            </w:r>
          </w:p>
          <w:p w:rsidR="00F82251" w:rsidRPr="000F275D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cộng điểm cho email của khách hàng đó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Nhân viên quản lý đóng sổ sách email của khách hàng</w:t>
            </w:r>
          </w:p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F82251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A5</w:t>
            </w:r>
            <w:r w:rsidR="00F82251"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 w:rsidR="00F82251">
              <w:rPr>
                <w:rFonts w:ascii="Times New Roman" w:hAnsi="Times New Roman" w:cs="Times New Roman"/>
                <w:sz w:val="26"/>
                <w:szCs w:val="26"/>
              </w:rPr>
              <w:t>c 5</w:t>
            </w:r>
            <w:r w:rsidR="00F82251"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 w:rsidR="00F82251"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F82251" w:rsidRPr="000F275D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</w:t>
            </w:r>
            <w:bookmarkStart w:id="4" w:name="_GoBack"/>
            <w:bookmarkEnd w:id="4"/>
            <w:r w:rsidR="00F82251">
              <w:rPr>
                <w:rFonts w:ascii="Times New Roman" w:hAnsi="Times New Roman" w:cs="Times New Roman"/>
                <w:sz w:val="26"/>
                <w:szCs w:val="26"/>
              </w:rPr>
              <w:t>: Tại bước 4, nếu danh sách email đang mở thì qua luôn bước 5</w:t>
            </w:r>
          </w:p>
        </w:tc>
      </w:tr>
    </w:tbl>
    <w:p w:rsidR="00F82251" w:rsidRPr="00A2427F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A2427F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82251" w:rsidRDefault="00F95AB4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82251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quảng cáo</w:t>
      </w:r>
      <w:bookmarkEnd w:id="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thông tin thanh toán</w:t>
      </w:r>
      <w:bookmarkEnd w:id="1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A2427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F1" w:rsidRDefault="00586EF1" w:rsidP="0044506C">
      <w:pPr>
        <w:spacing w:after="0" w:line="240" w:lineRule="auto"/>
      </w:pPr>
      <w:r>
        <w:separator/>
      </w:r>
    </w:p>
  </w:endnote>
  <w:endnote w:type="continuationSeparator" w:id="0">
    <w:p w:rsidR="00586EF1" w:rsidRDefault="00586EF1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54C" w:rsidRDefault="00337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87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3754C" w:rsidRDefault="00337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F1" w:rsidRDefault="00586EF1" w:rsidP="0044506C">
      <w:pPr>
        <w:spacing w:after="0" w:line="240" w:lineRule="auto"/>
      </w:pPr>
      <w:r>
        <w:separator/>
      </w:r>
    </w:p>
  </w:footnote>
  <w:footnote w:type="continuationSeparator" w:id="0">
    <w:p w:rsidR="00586EF1" w:rsidRDefault="00586EF1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54C" w:rsidRDefault="0033754C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160001"/>
    <w:rsid w:val="00175A2C"/>
    <w:rsid w:val="00180BCA"/>
    <w:rsid w:val="002D56D4"/>
    <w:rsid w:val="0033754C"/>
    <w:rsid w:val="003A7F0E"/>
    <w:rsid w:val="003F54D2"/>
    <w:rsid w:val="0044506C"/>
    <w:rsid w:val="00586EF1"/>
    <w:rsid w:val="00591CB5"/>
    <w:rsid w:val="005979CD"/>
    <w:rsid w:val="0062687F"/>
    <w:rsid w:val="006A68FC"/>
    <w:rsid w:val="00702D1F"/>
    <w:rsid w:val="007F1206"/>
    <w:rsid w:val="00810564"/>
    <w:rsid w:val="008662B0"/>
    <w:rsid w:val="009D79D9"/>
    <w:rsid w:val="00A2427F"/>
    <w:rsid w:val="00D41701"/>
    <w:rsid w:val="00D56710"/>
    <w:rsid w:val="00EA112B"/>
    <w:rsid w:val="00F67182"/>
    <w:rsid w:val="00F82251"/>
    <w:rsid w:val="00F95AB4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15A5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910F9-71A2-472C-8644-4981FE7C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Thái Hoàng Nguyễn</cp:lastModifiedBy>
  <cp:revision>8</cp:revision>
  <dcterms:created xsi:type="dcterms:W3CDTF">2020-05-06T04:06:00Z</dcterms:created>
  <dcterms:modified xsi:type="dcterms:W3CDTF">2020-05-08T08:13:00Z</dcterms:modified>
</cp:coreProperties>
</file>