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955" w:type="dxa"/>
        <w:jc w:val="center"/>
        <w:tblCellMar>
          <w:left w:w="0" w:type="dxa"/>
          <w:right w:w="0" w:type="dxa"/>
        </w:tblCellMar>
        <w:tblLook w:val="04A0" w:firstRow="1" w:lastRow="0" w:firstColumn="1" w:lastColumn="0" w:noHBand="0" w:noVBand="1"/>
      </w:tblPr>
      <w:tblGrid>
        <w:gridCol w:w="10388"/>
        <w:gridCol w:w="251"/>
        <w:gridCol w:w="316"/>
      </w:tblGrid>
      <w:tr w:rsidR="00DC3079" w:rsidRPr="00DC3079" w14:paraId="5FC00656" w14:textId="77777777" w:rsidTr="003C007B">
        <w:trPr>
          <w:trHeight w:val="1643"/>
          <w:jc w:val="center"/>
        </w:trPr>
        <w:tc>
          <w:tcPr>
            <w:tcW w:w="10388" w:type="dxa"/>
            <w:tcBorders>
              <w:top w:val="nil"/>
              <w:left w:val="nil"/>
              <w:bottom w:val="nil"/>
              <w:right w:val="nil"/>
            </w:tcBorders>
            <w:shd w:val="clear" w:color="auto" w:fill="auto"/>
            <w:tcMar>
              <w:top w:w="0" w:type="dxa"/>
              <w:left w:w="108" w:type="dxa"/>
              <w:bottom w:w="0" w:type="dxa"/>
              <w:right w:w="108" w:type="dxa"/>
            </w:tcMar>
          </w:tcPr>
          <w:tbl>
            <w:tblPr>
              <w:tblStyle w:val="TableGrid"/>
              <w:tblW w:w="10162"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094"/>
              <w:gridCol w:w="987"/>
              <w:gridCol w:w="5081"/>
            </w:tblGrid>
            <w:tr w:rsidR="00B85CBA" w14:paraId="68393EC5" w14:textId="77777777" w:rsidTr="003C007B">
              <w:trPr>
                <w:trHeight w:val="1503"/>
              </w:trPr>
              <w:tc>
                <w:tcPr>
                  <w:tcW w:w="4094" w:type="dxa"/>
                  <w:hideMark/>
                </w:tcPr>
                <w:p w14:paraId="2E1FB8D7" w14:textId="71ADDE1C" w:rsidR="00B85CBA" w:rsidRDefault="0060738F" w:rsidP="00F66CFF">
                  <w:pPr>
                    <w:spacing w:before="120" w:after="120" w:line="234" w:lineRule="atLeast"/>
                    <w:jc w:val="center"/>
                    <w:rPr>
                      <w:rFonts w:eastAsia="Times New Roman" w:cs="Arial"/>
                      <w:b/>
                      <w:color w:val="000000"/>
                      <w:sz w:val="24"/>
                      <w:szCs w:val="24"/>
                    </w:rPr>
                  </w:pPr>
                  <w:bookmarkStart w:id="0" w:name="OLE_LINK10"/>
                  <w:bookmarkStart w:id="1" w:name="OLE_LINK12"/>
                  <w:bookmarkStart w:id="2" w:name="_Hlk518373596"/>
                  <w:r>
                    <w:rPr>
                      <w:rFonts w:eastAsia="Times New Roman" w:cs="Arial"/>
                      <w:b/>
                      <w:bCs/>
                      <w:color w:val="000000"/>
                      <w:sz w:val="24"/>
                      <w:szCs w:val="24"/>
                      <w:lang w:val="vi-VN"/>
                    </w:rPr>
                    <w:t>THỦ TƯỚNG CHÍNH PHỦ</w:t>
                  </w:r>
                  <w:r w:rsidR="00B26D7D">
                    <w:rPr>
                      <w:rFonts w:cs="Arial"/>
                      <w:b/>
                      <w:bCs/>
                      <w:color w:val="000000"/>
                      <w:lang w:val="vi-VN"/>
                    </w:rPr>
                    <w:br/>
                  </w:r>
                  <w:r w:rsidR="00B85CBA">
                    <w:rPr>
                      <w:rFonts w:eastAsia="Times New Roman" w:cs="Arial"/>
                      <w:b/>
                      <w:color w:val="000000"/>
                      <w:sz w:val="24"/>
                      <w:szCs w:val="24"/>
                    </w:rPr>
                    <w:t>-------------</w:t>
                  </w:r>
                </w:p>
                <w:p w14:paraId="1202C9E1" w14:textId="56A7B1AF" w:rsidR="00B85CBA" w:rsidRPr="00B26D7D" w:rsidRDefault="0060738F" w:rsidP="00B85CBA">
                  <w:pPr>
                    <w:spacing w:before="120" w:after="120" w:line="234" w:lineRule="atLeast"/>
                    <w:jc w:val="center"/>
                    <w:rPr>
                      <w:rFonts w:eastAsia="Times New Roman" w:cs="Arial"/>
                      <w:color w:val="000000"/>
                      <w:sz w:val="24"/>
                      <w:szCs w:val="24"/>
                    </w:rPr>
                  </w:pPr>
                  <w:r>
                    <w:rPr>
                      <w:rFonts w:eastAsia="Times New Roman" w:cs="Arial"/>
                      <w:color w:val="000000"/>
                      <w:sz w:val="24"/>
                      <w:szCs w:val="24"/>
                      <w:lang w:val="vi-VN"/>
                    </w:rPr>
                    <w:t>Số: 26/2018/QĐ-TTg</w:t>
                  </w:r>
                </w:p>
              </w:tc>
              <w:tc>
                <w:tcPr>
                  <w:tcW w:w="987" w:type="dxa"/>
                </w:tcPr>
                <w:p w14:paraId="100771F1" w14:textId="77777777" w:rsidR="00B85CBA" w:rsidRDefault="00B85CBA" w:rsidP="00B85CBA">
                  <w:pPr>
                    <w:spacing w:before="120" w:after="120" w:line="234" w:lineRule="atLeast"/>
                    <w:jc w:val="left"/>
                    <w:rPr>
                      <w:rFonts w:eastAsia="Times New Roman" w:cs="Arial"/>
                      <w:color w:val="000000"/>
                      <w:sz w:val="24"/>
                      <w:szCs w:val="24"/>
                    </w:rPr>
                  </w:pPr>
                </w:p>
              </w:tc>
              <w:tc>
                <w:tcPr>
                  <w:tcW w:w="5081" w:type="dxa"/>
                  <w:hideMark/>
                </w:tcPr>
                <w:p w14:paraId="08AADCAE" w14:textId="77777777" w:rsidR="00B85CBA" w:rsidRDefault="00B85CBA" w:rsidP="00B85CBA">
                  <w:pPr>
                    <w:spacing w:before="120" w:after="120" w:line="234" w:lineRule="atLeast"/>
                    <w:jc w:val="center"/>
                    <w:rPr>
                      <w:rFonts w:eastAsia="Times New Roman" w:cs="Arial"/>
                      <w:b/>
                      <w:color w:val="000000"/>
                      <w:sz w:val="24"/>
                      <w:szCs w:val="24"/>
                    </w:rPr>
                  </w:pPr>
                  <w:r>
                    <w:rPr>
                      <w:rFonts w:eastAsia="Times New Roman" w:cs="Arial"/>
                      <w:b/>
                      <w:color w:val="000000"/>
                      <w:sz w:val="24"/>
                      <w:szCs w:val="24"/>
                    </w:rPr>
                    <w:t>CỘNG HÒA XÃ HỘI CHỦ NGHĨA VIỆT NAM</w:t>
                  </w:r>
                </w:p>
                <w:p w14:paraId="1DE0C68C" w14:textId="77777777" w:rsidR="00B85CBA" w:rsidRDefault="00B85CBA" w:rsidP="00B85CBA">
                  <w:pPr>
                    <w:spacing w:before="120" w:after="120" w:line="234" w:lineRule="atLeast"/>
                    <w:jc w:val="center"/>
                    <w:rPr>
                      <w:rFonts w:eastAsia="Times New Roman" w:cs="Arial"/>
                      <w:b/>
                      <w:color w:val="000000"/>
                      <w:sz w:val="24"/>
                      <w:szCs w:val="24"/>
                    </w:rPr>
                  </w:pPr>
                  <w:r>
                    <w:rPr>
                      <w:rFonts w:eastAsia="Times New Roman" w:cs="Arial"/>
                      <w:b/>
                      <w:color w:val="000000"/>
                      <w:sz w:val="24"/>
                      <w:szCs w:val="24"/>
                    </w:rPr>
                    <w:t>Độc lập – tự do – Hạnh phúc</w:t>
                  </w:r>
                </w:p>
                <w:p w14:paraId="532D9956" w14:textId="77777777" w:rsidR="00B85CBA" w:rsidRDefault="00B85CBA" w:rsidP="00B85CBA">
                  <w:pPr>
                    <w:spacing w:before="120" w:after="120" w:line="234" w:lineRule="atLeast"/>
                    <w:jc w:val="center"/>
                    <w:rPr>
                      <w:rFonts w:eastAsia="Times New Roman" w:cs="Arial"/>
                      <w:b/>
                      <w:color w:val="000000"/>
                      <w:sz w:val="24"/>
                      <w:szCs w:val="24"/>
                    </w:rPr>
                  </w:pPr>
                  <w:r>
                    <w:rPr>
                      <w:rFonts w:eastAsia="Times New Roman" w:cs="Arial"/>
                      <w:b/>
                      <w:color w:val="000000"/>
                      <w:sz w:val="24"/>
                      <w:szCs w:val="24"/>
                    </w:rPr>
                    <w:t>-----------------</w:t>
                  </w:r>
                </w:p>
                <w:p w14:paraId="17606617" w14:textId="675B6D5A" w:rsidR="00C361F0" w:rsidRPr="00B26D7D" w:rsidRDefault="0060738F" w:rsidP="00C361F0">
                  <w:pPr>
                    <w:spacing w:before="120" w:after="120" w:line="234" w:lineRule="atLeast"/>
                    <w:jc w:val="center"/>
                    <w:rPr>
                      <w:rFonts w:eastAsia="Times New Roman" w:cs="Arial"/>
                      <w:i/>
                      <w:color w:val="000000"/>
                      <w:sz w:val="24"/>
                      <w:szCs w:val="24"/>
                    </w:rPr>
                  </w:pPr>
                  <w:r>
                    <w:rPr>
                      <w:rFonts w:eastAsia="Times New Roman" w:cs="Arial"/>
                      <w:i/>
                      <w:iCs/>
                      <w:color w:val="000000"/>
                      <w:sz w:val="24"/>
                      <w:szCs w:val="24"/>
                    </w:rPr>
                    <w:t>Hà Nội</w:t>
                  </w:r>
                  <w:r>
                    <w:rPr>
                      <w:rFonts w:eastAsia="Times New Roman" w:cs="Arial"/>
                      <w:i/>
                      <w:iCs/>
                      <w:color w:val="000000"/>
                      <w:sz w:val="24"/>
                      <w:szCs w:val="24"/>
                      <w:lang w:val="vi-VN"/>
                    </w:rPr>
                    <w:t>, ngày </w:t>
                  </w:r>
                  <w:r>
                    <w:rPr>
                      <w:rFonts w:eastAsia="Times New Roman" w:cs="Arial"/>
                      <w:i/>
                      <w:iCs/>
                      <w:color w:val="000000"/>
                      <w:sz w:val="24"/>
                      <w:szCs w:val="24"/>
                    </w:rPr>
                    <w:t>22</w:t>
                  </w:r>
                  <w:r>
                    <w:rPr>
                      <w:rFonts w:eastAsia="Times New Roman" w:cs="Arial"/>
                      <w:i/>
                      <w:iCs/>
                      <w:color w:val="000000"/>
                      <w:sz w:val="24"/>
                      <w:szCs w:val="24"/>
                      <w:lang w:val="vi-VN"/>
                    </w:rPr>
                    <w:t> tháng </w:t>
                  </w:r>
                  <w:r>
                    <w:rPr>
                      <w:rFonts w:eastAsia="Times New Roman" w:cs="Arial"/>
                      <w:i/>
                      <w:iCs/>
                      <w:color w:val="000000"/>
                      <w:sz w:val="24"/>
                      <w:szCs w:val="24"/>
                    </w:rPr>
                    <w:t>6</w:t>
                  </w:r>
                  <w:r>
                    <w:rPr>
                      <w:rFonts w:eastAsia="Times New Roman" w:cs="Arial"/>
                      <w:i/>
                      <w:iCs/>
                      <w:color w:val="000000"/>
                      <w:sz w:val="24"/>
                      <w:szCs w:val="24"/>
                      <w:lang w:val="vi-VN"/>
                    </w:rPr>
                    <w:t> năm </w:t>
                  </w:r>
                  <w:r>
                    <w:rPr>
                      <w:rFonts w:eastAsia="Times New Roman" w:cs="Arial"/>
                      <w:i/>
                      <w:iCs/>
                      <w:color w:val="000000"/>
                      <w:sz w:val="24"/>
                      <w:szCs w:val="24"/>
                    </w:rPr>
                    <w:t>2018</w:t>
                  </w:r>
                </w:p>
              </w:tc>
            </w:tr>
            <w:bookmarkEnd w:id="0"/>
            <w:bookmarkEnd w:id="1"/>
          </w:tbl>
          <w:p w14:paraId="7729F12B" w14:textId="77777777" w:rsidR="00DC3079" w:rsidRPr="00DC3079" w:rsidRDefault="00DC3079" w:rsidP="00B85CBA">
            <w:pPr>
              <w:spacing w:before="100" w:beforeAutospacing="1" w:after="100" w:afterAutospacing="1"/>
              <w:ind w:right="-246"/>
              <w:rPr>
                <w:rFonts w:eastAsia="Times New Roman" w:cs="Arial"/>
                <w:sz w:val="24"/>
                <w:szCs w:val="24"/>
                <w:lang w:val="vi-VN" w:eastAsia="vi-VN"/>
              </w:rPr>
            </w:pPr>
          </w:p>
        </w:tc>
        <w:tc>
          <w:tcPr>
            <w:tcW w:w="251" w:type="dxa"/>
            <w:tcBorders>
              <w:top w:val="nil"/>
              <w:left w:val="nil"/>
              <w:bottom w:val="nil"/>
              <w:right w:val="nil"/>
            </w:tcBorders>
            <w:shd w:val="clear" w:color="auto" w:fill="auto"/>
            <w:tcMar>
              <w:top w:w="0" w:type="dxa"/>
              <w:left w:w="108" w:type="dxa"/>
              <w:bottom w:w="0" w:type="dxa"/>
              <w:right w:w="108" w:type="dxa"/>
            </w:tcMar>
          </w:tcPr>
          <w:p w14:paraId="1F15E427" w14:textId="77777777" w:rsidR="00DC3079" w:rsidRPr="00DC3079" w:rsidRDefault="00DC3079" w:rsidP="00DC3079">
            <w:pPr>
              <w:spacing w:before="0" w:after="0"/>
              <w:jc w:val="center"/>
              <w:rPr>
                <w:rFonts w:eastAsia="Times New Roman" w:cs="Arial"/>
                <w:sz w:val="24"/>
                <w:szCs w:val="24"/>
                <w:lang w:val="vi-VN" w:eastAsia="vi-VN"/>
              </w:rPr>
            </w:pPr>
          </w:p>
        </w:tc>
        <w:tc>
          <w:tcPr>
            <w:tcW w:w="316" w:type="dxa"/>
            <w:tcBorders>
              <w:top w:val="nil"/>
              <w:left w:val="nil"/>
              <w:bottom w:val="nil"/>
              <w:right w:val="nil"/>
            </w:tcBorders>
            <w:shd w:val="clear" w:color="auto" w:fill="auto"/>
            <w:tcMar>
              <w:top w:w="0" w:type="dxa"/>
              <w:left w:w="108" w:type="dxa"/>
              <w:bottom w:w="0" w:type="dxa"/>
              <w:right w:w="108" w:type="dxa"/>
            </w:tcMar>
          </w:tcPr>
          <w:p w14:paraId="25DE6471" w14:textId="77777777" w:rsidR="00DC3079" w:rsidRPr="00DC3079" w:rsidRDefault="00DC3079" w:rsidP="00DC3079">
            <w:pPr>
              <w:spacing w:before="0" w:after="0"/>
              <w:jc w:val="center"/>
              <w:rPr>
                <w:rFonts w:eastAsia="Times New Roman" w:cs="Arial"/>
                <w:sz w:val="24"/>
                <w:szCs w:val="24"/>
                <w:lang w:val="vi-VN" w:eastAsia="vi-VN"/>
              </w:rPr>
            </w:pPr>
          </w:p>
        </w:tc>
      </w:tr>
      <w:bookmarkEnd w:id="2"/>
      <w:tr w:rsidR="00DC3079" w:rsidRPr="00DC3079" w14:paraId="3B2E66C5" w14:textId="77777777" w:rsidTr="00F07D08">
        <w:trPr>
          <w:trHeight w:val="82"/>
          <w:jc w:val="center"/>
        </w:trPr>
        <w:tc>
          <w:tcPr>
            <w:tcW w:w="10388" w:type="dxa"/>
            <w:tcBorders>
              <w:top w:val="nil"/>
              <w:left w:val="nil"/>
              <w:bottom w:val="nil"/>
              <w:right w:val="nil"/>
            </w:tcBorders>
            <w:shd w:val="clear" w:color="auto" w:fill="auto"/>
            <w:tcMar>
              <w:top w:w="0" w:type="dxa"/>
              <w:left w:w="108" w:type="dxa"/>
              <w:bottom w:w="0" w:type="dxa"/>
              <w:right w:w="108" w:type="dxa"/>
            </w:tcMar>
          </w:tcPr>
          <w:p w14:paraId="64BFEF6D" w14:textId="77777777" w:rsidR="00DC3079" w:rsidRPr="00DC3079" w:rsidRDefault="00DC3079" w:rsidP="00FF286C">
            <w:pPr>
              <w:spacing w:before="0" w:after="0"/>
              <w:rPr>
                <w:rFonts w:eastAsia="Times New Roman" w:cs="Arial"/>
                <w:sz w:val="24"/>
                <w:szCs w:val="24"/>
                <w:lang w:val="vi-VN" w:eastAsia="vi-VN"/>
              </w:rPr>
            </w:pPr>
          </w:p>
        </w:tc>
        <w:tc>
          <w:tcPr>
            <w:tcW w:w="251" w:type="dxa"/>
            <w:tcBorders>
              <w:top w:val="nil"/>
              <w:left w:val="nil"/>
              <w:bottom w:val="nil"/>
              <w:right w:val="nil"/>
            </w:tcBorders>
            <w:shd w:val="clear" w:color="auto" w:fill="auto"/>
            <w:tcMar>
              <w:top w:w="0" w:type="dxa"/>
              <w:left w:w="108" w:type="dxa"/>
              <w:bottom w:w="0" w:type="dxa"/>
              <w:right w:w="108" w:type="dxa"/>
            </w:tcMar>
          </w:tcPr>
          <w:p w14:paraId="32510ECD" w14:textId="77777777" w:rsidR="00DC3079" w:rsidRPr="00DC3079" w:rsidRDefault="00DC3079" w:rsidP="00DC3079">
            <w:pPr>
              <w:spacing w:before="0" w:after="0"/>
              <w:jc w:val="center"/>
              <w:rPr>
                <w:rFonts w:eastAsia="Times New Roman" w:cs="Arial"/>
                <w:sz w:val="24"/>
                <w:szCs w:val="24"/>
                <w:lang w:val="vi-VN" w:eastAsia="vi-VN"/>
              </w:rPr>
            </w:pPr>
          </w:p>
        </w:tc>
        <w:tc>
          <w:tcPr>
            <w:tcW w:w="316" w:type="dxa"/>
            <w:tcBorders>
              <w:top w:val="nil"/>
              <w:left w:val="nil"/>
              <w:bottom w:val="nil"/>
              <w:right w:val="nil"/>
            </w:tcBorders>
            <w:shd w:val="clear" w:color="auto" w:fill="auto"/>
            <w:tcMar>
              <w:top w:w="0" w:type="dxa"/>
              <w:left w:w="108" w:type="dxa"/>
              <w:bottom w:w="0" w:type="dxa"/>
              <w:right w:w="108" w:type="dxa"/>
            </w:tcMar>
          </w:tcPr>
          <w:p w14:paraId="6AB19F05" w14:textId="77777777" w:rsidR="00DC3079" w:rsidRPr="00DC3079" w:rsidRDefault="00DC3079" w:rsidP="00DC3079">
            <w:pPr>
              <w:spacing w:before="0" w:after="0"/>
              <w:jc w:val="center"/>
              <w:rPr>
                <w:rFonts w:eastAsia="Times New Roman" w:cs="Arial"/>
                <w:sz w:val="24"/>
                <w:szCs w:val="24"/>
                <w:lang w:val="vi-VN" w:eastAsia="vi-VN"/>
              </w:rPr>
            </w:pPr>
          </w:p>
        </w:tc>
      </w:tr>
    </w:tbl>
    <w:p w14:paraId="34EB72E6" w14:textId="77777777" w:rsidR="00F07D08" w:rsidRDefault="00F07D08" w:rsidP="00BE7A48">
      <w:pPr>
        <w:shd w:val="clear" w:color="auto" w:fill="FFFFFF"/>
        <w:spacing w:before="0" w:after="0"/>
        <w:jc w:val="center"/>
        <w:rPr>
          <w:rFonts w:eastAsia="Times New Roman" w:cs="Arial"/>
          <w:color w:val="000000"/>
          <w:sz w:val="24"/>
          <w:szCs w:val="24"/>
        </w:rPr>
      </w:pPr>
      <w:bookmarkStart w:id="3" w:name="OLE_LINK97"/>
      <w:r>
        <w:rPr>
          <w:rFonts w:eastAsia="Times New Roman" w:cs="Arial"/>
          <w:b/>
          <w:bCs/>
          <w:color w:val="000000"/>
          <w:sz w:val="24"/>
          <w:szCs w:val="24"/>
          <w:lang w:val="vi-VN"/>
        </w:rPr>
        <w:t>QUYẾT ĐỊNH</w:t>
      </w:r>
    </w:p>
    <w:p w14:paraId="47A3BA7F" w14:textId="77777777" w:rsidR="00F07D08" w:rsidRDefault="00F07D08" w:rsidP="00BE7A48">
      <w:pPr>
        <w:shd w:val="clear" w:color="auto" w:fill="FFFFFF"/>
        <w:spacing w:before="0" w:after="0"/>
        <w:jc w:val="center"/>
        <w:rPr>
          <w:rFonts w:eastAsia="Times New Roman" w:cs="Arial"/>
          <w:color w:val="000000"/>
          <w:sz w:val="24"/>
          <w:szCs w:val="24"/>
        </w:rPr>
      </w:pPr>
      <w:r>
        <w:rPr>
          <w:rFonts w:eastAsia="Times New Roman" w:cs="Arial"/>
          <w:color w:val="000000"/>
          <w:sz w:val="24"/>
          <w:szCs w:val="24"/>
          <w:lang w:val="vi-VN"/>
        </w:rPr>
        <w:t>THÍ ĐIỂM THÀNH LẬP ĐỘI QUẢN LÝ TRẬT TỰ XÂY DỰNG ĐÔ THỊ TRỰC THUỘC ỦY BAN NHÂN DÂN QUẬN, HUYỆN, THỊ XÃ TẠI THÀNH PHỐ HÀ NỘI</w:t>
      </w:r>
    </w:p>
    <w:p w14:paraId="6F3664EA"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Căn cứ Luật tổ chức Chính phủ ngày 19 tháng 6 năm 2015;</w:t>
      </w:r>
    </w:p>
    <w:p w14:paraId="14CA497D"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Căn cứ Luật xử lý vi phạm hành chính ngày 20 tháng 6 năm 2012;</w:t>
      </w:r>
    </w:p>
    <w:p w14:paraId="2F720A37"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Căn cứ Luật Thủ đô ngày 21 tháng 11 năm 2012;</w:t>
      </w:r>
    </w:p>
    <w:p w14:paraId="44FEB699"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Căn cứ Luật xây dựng ngày 18 tháng 6 năm 2014;</w:t>
      </w:r>
    </w:p>
    <w:p w14:paraId="7AAFE485"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Căn cứ Nghị định số </w:t>
      </w:r>
      <w:hyperlink r:id="rId5" w:tgtFrame="_blank" w:tooltip="Nghị định 139/2017/NĐ-CP" w:history="1">
        <w:r w:rsidRPr="0033194E">
          <w:rPr>
            <w:rStyle w:val="Hyperlink"/>
            <w:rFonts w:eastAsia="Times New Roman" w:cs="Arial"/>
            <w:b/>
            <w:i/>
            <w:iCs/>
            <w:color w:val="auto"/>
            <w:sz w:val="24"/>
            <w:szCs w:val="24"/>
            <w:lang w:val="vi-VN"/>
          </w:rPr>
          <w:t>139/2017/NĐ-CP</w:t>
        </w:r>
      </w:hyperlink>
      <w:r>
        <w:rPr>
          <w:rFonts w:eastAsia="Times New Roman" w:cs="Arial"/>
          <w:i/>
          <w:iCs/>
          <w:color w:val="000000"/>
          <w:sz w:val="24"/>
          <w:szCs w:val="24"/>
          <w:lang w:val="vi-VN"/>
        </w:rPr>
        <w:t>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14:paraId="48DEB375"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Căn cứ Nghị quyết số </w:t>
      </w:r>
      <w:hyperlink r:id="rId6" w:tgtFrame="_blank" w:tooltip="Nghị quyết 117/NQ-CP" w:history="1">
        <w:r w:rsidRPr="0033194E">
          <w:rPr>
            <w:rStyle w:val="Hyperlink"/>
            <w:rFonts w:eastAsia="Times New Roman" w:cs="Arial"/>
            <w:b/>
            <w:i/>
            <w:iCs/>
            <w:color w:val="auto"/>
            <w:sz w:val="24"/>
            <w:szCs w:val="24"/>
            <w:lang w:val="vi-VN"/>
          </w:rPr>
          <w:t>117/NQ-CP</w:t>
        </w:r>
      </w:hyperlink>
      <w:r>
        <w:rPr>
          <w:rFonts w:eastAsia="Times New Roman" w:cs="Arial"/>
          <w:i/>
          <w:iCs/>
          <w:color w:val="000000"/>
          <w:sz w:val="24"/>
          <w:szCs w:val="24"/>
          <w:lang w:val="vi-VN"/>
        </w:rPr>
        <w:t> ngày 09 tháng 11 năm 2017 của Chính phủ về phiên họp Chính phủ thường kỳ tháng 10 năm 2017;</w:t>
      </w:r>
    </w:p>
    <w:p w14:paraId="22977422"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Theo đề nghị của Ủy ban nhân dân thành phố Hà Nội tại Tờ trình số 64/TTr-UBND ngày 21 tháng 5 năm 2018 và của Bộ Nội vụ tại Công văn số 1656/BNV-TCBC ngày 19 tháng 4 năm 2018;</w:t>
      </w:r>
    </w:p>
    <w:p w14:paraId="274F1405"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i/>
          <w:iCs/>
          <w:color w:val="000000"/>
          <w:sz w:val="24"/>
          <w:szCs w:val="24"/>
          <w:lang w:val="vi-VN"/>
        </w:rPr>
        <w:t>Thủ tướng Chính phủ ban hành Quyết định thí điểm thành lập Đội Quản lý trật tự xây dựng đô thị trực thuộc Ủy ban nhân dân quận, huyện, thị xã tại thành phố Hà Nội.</w:t>
      </w:r>
    </w:p>
    <w:p w14:paraId="1FBFCB3A"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b/>
          <w:bCs/>
          <w:color w:val="000000"/>
          <w:sz w:val="24"/>
          <w:szCs w:val="24"/>
          <w:lang w:val="vi-VN"/>
        </w:rPr>
        <w:t>Điều 1. Thí điểm thành lập và vị trí, chức năng của Đội Quản lý trật tự xây dựng đô thị</w:t>
      </w:r>
    </w:p>
    <w:p w14:paraId="1BE42785"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color w:val="000000"/>
          <w:sz w:val="24"/>
          <w:szCs w:val="24"/>
          <w:lang w:val="vi-VN"/>
        </w:rPr>
        <w:t>1. Thí điểm thành lập Đội Quản lý trật tự xây dựng đô thị trên cơ sở tổ chức lại Đội Thanh tra xây dựng quận, huyện, thị xã thuộc Thanh tra Sở Xây dựng thành phố Hà Nội.</w:t>
      </w:r>
    </w:p>
    <w:p w14:paraId="1ACCDCAE"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color w:val="000000"/>
          <w:sz w:val="24"/>
          <w:szCs w:val="24"/>
          <w:lang w:val="vi-VN"/>
        </w:rPr>
        <w:t>2. Đội Quản lý trật tự xây dựng đô thị là tổ chức hành chính trực thuộc Ủy ban nhân dân quận, huyện, thị xã tại thành phố Hà Nội (sau đây viết tắt là cấp huyện), có chức năng tham mưu, giúp Ủy ban nhân dân cấp huyện thực thi các quy định pháp luật trong lĩnh vực trật tự xây dựng đô thị.</w:t>
      </w:r>
    </w:p>
    <w:p w14:paraId="403ABE00"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color w:val="000000"/>
          <w:sz w:val="24"/>
          <w:szCs w:val="24"/>
          <w:lang w:val="vi-VN"/>
        </w:rPr>
        <w:t>Đội quản lý trật tự xây dựng đô thị được trang bị phương tiện làm việc theo quy định của pháp luật; chịu sự chỉ đạo, quản lý của Ủy ban nhân dân cấp huyện và sự chỉ đạo, kiểm tra, hướng dẫn về chuyên môn, nghiệp vụ của Sở Xây dựng.</w:t>
      </w:r>
    </w:p>
    <w:p w14:paraId="2897E815"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color w:val="000000"/>
          <w:sz w:val="24"/>
          <w:szCs w:val="24"/>
          <w:lang w:val="vi-VN"/>
        </w:rPr>
        <w:t>3. Đội quản lý trật tự xây dựng đô thị có trụ sở làm việc, có con dấu riêng, được mở tài khoản tại Kho bạc Nhà nước.</w:t>
      </w:r>
    </w:p>
    <w:p w14:paraId="66AF3E8D" w14:textId="77777777" w:rsidR="00F07D08" w:rsidRDefault="00F07D08" w:rsidP="00BE7A48">
      <w:pPr>
        <w:shd w:val="clear" w:color="auto" w:fill="FFFFFF"/>
        <w:spacing w:before="0" w:after="0"/>
        <w:rPr>
          <w:rFonts w:eastAsia="Times New Roman" w:cs="Arial"/>
          <w:color w:val="000000"/>
          <w:sz w:val="24"/>
          <w:szCs w:val="24"/>
        </w:rPr>
      </w:pPr>
      <w:r>
        <w:rPr>
          <w:rFonts w:eastAsia="Times New Roman" w:cs="Arial"/>
          <w:b/>
          <w:bCs/>
          <w:color w:val="000000"/>
          <w:sz w:val="24"/>
          <w:szCs w:val="24"/>
          <w:lang w:val="vi-VN"/>
        </w:rPr>
        <w:t>Điều 2. Nhiệm vụ, quyền hạn của Đội Quản lý trật tự xây dựng đô thị</w:t>
      </w:r>
    </w:p>
    <w:p w14:paraId="6BFF87A7"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1. Xây dựng và tổ chức thực hiện kế hoạch kiểm tra các trường hợp vi phạm trật tự xây dựng đô thị trên địa bàn. Phát hiện, lập hồ sơ xử lý các trường hợp vi phạm trật tự xây dựng đô thị theo quy định của pháp luật và theo quy định của Ủy ban nhân dân thành phố Hà Nội.</w:t>
      </w:r>
    </w:p>
    <w:p w14:paraId="4504091B"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Đề xuất Chủ tịch Ủy ban nhân dân cấp huyện, Chủ tịch Ủy ban nhân dân cấp xã ban hành Quyết định xử phạt vi phạm hành chính và áp dụng các biện pháp khắc phục hậu quả theo thẩm quyền.</w:t>
      </w:r>
    </w:p>
    <w:p w14:paraId="46DE18F7"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lastRenderedPageBreak/>
        <w:t>2. Thông báo, kiến nghị và gửi tài liệu có liên quan cho Cơ quan điều tra, Viện kiểm sát xem xét, khởi tố đối với người thực hiện hành vi vi phạm pháp luật thuộc phạm vi quản lý của Đội Quản lý trật tự xây dựng đô thị theo quy định của pháp luật.</w:t>
      </w:r>
    </w:p>
    <w:p w14:paraId="5170927F"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3. Được yêu cầu các cơ quan quản lý nhà nước cung cấp các tài liệu như: hồ sơ đồ án quy hoạch xây dựng, giấy phép xây dựng và các tài liệu liên quan khác phục vụ cho công tác kiểm tra; yêu cầu các chủ đầu tư xuất trình giấy phép xây dựng, các tài liệu liên quan đến việc xây dựng công trình.</w:t>
      </w:r>
    </w:p>
    <w:p w14:paraId="66B0F903"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4. Phối hợp với các cơ quan chuyên môn thuộc Ủy ban nhân dân cấp huyện và với Thanh tra quận, huyện, thị xã tham mưu, đề xuất với Chủ tịch Ủy ban nhân dân cấp huyện trong công tác quản lý trật tự xây dựng đô thị trên địa bàn quận, huyện, thị xã; lập chương trình, kế hoạch tuyên truyền, phổ biến, giáo dục pháp luật về công tác quản lý trật tự xây dựng đô thị trên địa bàn để trình Chủ tịch Ủy ban nhân dân cấp huyện phê duyệt và tổ chức thực hiện.</w:t>
      </w:r>
    </w:p>
    <w:p w14:paraId="2E4DD0FE"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5. Thông tin, báo cáo định kỳ và đột xuất về tình hình thực hiện nhiệm vụ được giao theo quy định của Ủy ban nhân dân cấp huyện và Sở Xây dựng.</w:t>
      </w:r>
    </w:p>
    <w:p w14:paraId="7A575F23"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6. Giải quyết khiếu nại, tố cáo; phòng, chống tham nhũng, lãng phí theo quy định của pháp luật và phân công của Ủy ban nhân dân cấp huyện.</w:t>
      </w:r>
    </w:p>
    <w:p w14:paraId="04E9AAC5"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7. Quản lý tổ chức bộ máy, vị trí việc làm, biên chế công chức, cơ cấu ngạch công chức; thực hiện chính sách, chế độ tiền lương, đãi ngộ, khen thưởng, kỷ luật và đào tạo, bồi dưỡng về chuyên môn nghiệp vụ đối với công chức thuộc phạm vi quản lý theo quy định của pháp luật hoặc theo phân công của Ủy ban nhân dân cấp huyện.</w:t>
      </w:r>
    </w:p>
    <w:p w14:paraId="1348EE28"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8. Quản lý tài chính, tài sản và chịu trách nhiệm theo quy định của pháp luật và phân công của Ủy ban nhân dân cấp huyện.</w:t>
      </w:r>
    </w:p>
    <w:p w14:paraId="6FE53CE9"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b/>
          <w:bCs/>
          <w:color w:val="000000"/>
          <w:sz w:val="24"/>
          <w:szCs w:val="24"/>
          <w:lang w:val="vi-VN"/>
        </w:rPr>
        <w:t>Điều 3. Cơ cấu tổ chức và biên chế của Đội Quản lý trật tự xây dựng đô thị</w:t>
      </w:r>
    </w:p>
    <w:p w14:paraId="485EA251"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1. Về cơ cấu tổ chức:</w:t>
      </w:r>
    </w:p>
    <w:p w14:paraId="7185D803"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Đội Quản lý trật tự xây dựng đô thị gồm Đội trưởng, không quá 02 Phó đội trưởng và các công chức.</w:t>
      </w:r>
    </w:p>
    <w:p w14:paraId="36BCDC15"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Đội trưởng và Phó đội trưởng do Chủ tịch Ủy ban nhân dân cấp huyện bổ nhiệm, miễn nhiệm theo quy định của pháp luật. Đội trưởng chịu trách nhiệm trước Chủ tịch Ủy ban nhân dân cấp huyện và pháp luật về toàn bộ hoạt động của Đội. Đội phó thực hiện nhiệm vụ do Đội trưởng phân công, chịu trách nhiệm trước Đội trưởng và trước pháp luật về lĩnh vực được phân công.</w:t>
      </w:r>
    </w:p>
    <w:p w14:paraId="0653E82D"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Căn cứ vào yêu cầu quản lý trật tự xây dựng đô thị trên địa bàn cấp xã, Đội trưởng Đội Quản lý trật tự xây dựng đô thị quyết định phân công công chức trực tiếp thực hiện nhiệm vụ quản lý trật tự xây dựng đô thị trên địa bàn cấp xã. Công chức được giao nhiệm vụ có trách nhiệm phối hợp với Ủy ban nhân dân cấp xã trong công tác quản lý trật tự xây dựng đô thị.</w:t>
      </w:r>
    </w:p>
    <w:p w14:paraId="5BFEB1F4"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2. Về biên chế:</w:t>
      </w:r>
    </w:p>
    <w:p w14:paraId="54FDD2E7"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Biên chế của Đội Quản lý trật tự xây dựng đô thị do Ủy ban nhân dân thành phố Hà Nội quyết định trong tổng biên chế công chức được cấp có thẩm quyền giao; bảo đảm không làm tăng thêm biên chế công chức.</w:t>
      </w:r>
    </w:p>
    <w:p w14:paraId="2890CC06"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b/>
          <w:bCs/>
          <w:color w:val="000000"/>
          <w:sz w:val="24"/>
          <w:szCs w:val="24"/>
          <w:lang w:val="vi-VN"/>
        </w:rPr>
        <w:t>Điều 4. Thời gian thực hiện thí điểm</w:t>
      </w:r>
    </w:p>
    <w:p w14:paraId="55EFCF6E"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Thời gian thực hiện thí điểm là 02 năm (24 tháng), kể từ ngày Quyết định này có hiệu lực thi hành.</w:t>
      </w:r>
    </w:p>
    <w:p w14:paraId="6BF59336"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b/>
          <w:bCs/>
          <w:color w:val="000000"/>
          <w:sz w:val="24"/>
          <w:szCs w:val="24"/>
          <w:lang w:val="vi-VN"/>
        </w:rPr>
        <w:t>Điều 5. Hiệu lực và trách nhiệm thi hành</w:t>
      </w:r>
    </w:p>
    <w:p w14:paraId="471D802B"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1. Quyết định này có hiệu lực thi hành từ ngày 10 tháng 8 năm 2018.</w:t>
      </w:r>
    </w:p>
    <w:p w14:paraId="51CACDB5"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2. Chủ tịch Ủy ban nhân dân thành phố Hà Nội có trách nhiệm tổ chức thực hiện Quyết định này; tổng kết, đánh giá kết quả thực hiện thí điểm thành lập Đội Quản lý trật tự xây dựng đô thị cấp huyện và đề xuất chính sách cụ thể để nâng cao hiệu quả hoạt động trong công tác quản lý trật tự xây dựng đô thị.</w:t>
      </w:r>
    </w:p>
    <w:p w14:paraId="6C427BA8"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lastRenderedPageBreak/>
        <w:t>3. Bộ trưởng các Bộ: Nội vụ, Xây dựng, Tổng Thanh tra Chính phủ, Chủ tịch Ủy ban nhân dân thành phố Hà Nội và các cơ quan, tổ chức, cá nhân có liên quan chịu trách nhiệm thi hành Quyết định này./.</w:t>
      </w:r>
    </w:p>
    <w:p w14:paraId="4D8ED33E" w14:textId="77777777" w:rsidR="00F07D08" w:rsidRDefault="00F07D08" w:rsidP="00BE7A48">
      <w:pPr>
        <w:shd w:val="clear" w:color="auto" w:fill="FFFFFF"/>
        <w:spacing w:before="0" w:after="0"/>
        <w:rPr>
          <w:rFonts w:eastAsia="Times New Roman" w:cs="Arial"/>
          <w:color w:val="000000"/>
          <w:sz w:val="24"/>
          <w:szCs w:val="24"/>
          <w:lang w:val="vi-VN"/>
        </w:rPr>
      </w:pPr>
      <w:r>
        <w:rPr>
          <w:rFonts w:eastAsia="Times New Roman" w:cs="Arial"/>
          <w:color w:val="000000"/>
          <w:sz w:val="24"/>
          <w:szCs w:val="24"/>
          <w:lang w:val="vi-VN"/>
        </w:rPr>
        <w:t> </w:t>
      </w:r>
    </w:p>
    <w:tbl>
      <w:tblPr>
        <w:tblStyle w:val="TableGrid"/>
        <w:tblW w:w="10054"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382"/>
        <w:gridCol w:w="64"/>
        <w:gridCol w:w="1490"/>
        <w:gridCol w:w="165"/>
        <w:gridCol w:w="2953"/>
      </w:tblGrid>
      <w:tr w:rsidR="00BE7A48" w14:paraId="2EA512FE" w14:textId="77777777" w:rsidTr="00F579DF">
        <w:trPr>
          <w:gridBefore w:val="2"/>
          <w:gridAfter w:val="1"/>
          <w:wBefore w:w="5446" w:type="dxa"/>
          <w:wAfter w:w="2953" w:type="dxa"/>
        </w:trPr>
        <w:tc>
          <w:tcPr>
            <w:tcW w:w="165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FB8E6" w14:textId="77777777" w:rsidR="00BE7A48" w:rsidRDefault="00BE7A48">
            <w:pPr>
              <w:spacing w:after="200"/>
              <w:rPr>
                <w:rFonts w:cs="Arial"/>
                <w:b/>
                <w:sz w:val="24"/>
                <w:szCs w:val="24"/>
              </w:rPr>
            </w:pPr>
            <w:bookmarkStart w:id="4" w:name="OLE_LINK11"/>
            <w:bookmarkStart w:id="5" w:name="OLE_LINK13"/>
            <w:bookmarkStart w:id="6" w:name="_GoBack"/>
            <w:bookmarkEnd w:id="3"/>
          </w:p>
        </w:tc>
      </w:tr>
      <w:tr w:rsidR="00BE7A48" w14:paraId="254D4CE2" w14:textId="77777777" w:rsidTr="00F579DF">
        <w:tc>
          <w:tcPr>
            <w:tcW w:w="53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1731E6" w14:textId="77777777" w:rsidR="00BE7A48" w:rsidRDefault="00BE7A48">
            <w:pPr>
              <w:spacing w:after="200"/>
              <w:ind w:left="39"/>
              <w:jc w:val="left"/>
              <w:rPr>
                <w:rFonts w:cs="Arial"/>
                <w:b/>
                <w:sz w:val="24"/>
                <w:szCs w:val="24"/>
              </w:rPr>
            </w:pPr>
            <w:r>
              <w:rPr>
                <w:rFonts w:cs="Arial"/>
                <w:b/>
                <w:sz w:val="24"/>
                <w:szCs w:val="24"/>
              </w:rPr>
              <w:t>Nơi nhận:</w:t>
            </w:r>
          </w:p>
          <w:p w14:paraId="0EE22E5B" w14:textId="77777777" w:rsidR="00BE7A48" w:rsidRDefault="00BE7A48">
            <w:pPr>
              <w:pStyle w:val="ListParagraph"/>
              <w:spacing w:after="200"/>
              <w:ind w:left="399"/>
              <w:jc w:val="left"/>
              <w:rPr>
                <w:rFonts w:cs="Arial"/>
                <w:sz w:val="24"/>
                <w:szCs w:val="24"/>
              </w:rPr>
            </w:pPr>
            <w:r>
              <w:rPr>
                <w:rFonts w:cs="Arial"/>
                <w:color w:val="000000"/>
                <w:sz w:val="24"/>
                <w:szCs w:val="24"/>
                <w:shd w:val="clear" w:color="auto" w:fill="FFFFFF"/>
              </w:rPr>
              <w:t>- Ban Bí thư Trung ương Đảng;</w:t>
            </w:r>
            <w:r>
              <w:rPr>
                <w:rFonts w:cs="Arial"/>
                <w:color w:val="000000"/>
                <w:sz w:val="24"/>
                <w:szCs w:val="24"/>
                <w:shd w:val="clear" w:color="auto" w:fill="FFFFFF"/>
              </w:rPr>
              <w:br/>
              <w:t>- Thủ tướng, các Phó Thủ tướng Chính phủ;</w:t>
            </w:r>
            <w:r>
              <w:rPr>
                <w:rFonts w:cs="Arial"/>
                <w:color w:val="000000"/>
                <w:sz w:val="24"/>
                <w:szCs w:val="24"/>
                <w:shd w:val="clear" w:color="auto" w:fill="FFFFFF"/>
              </w:rPr>
              <w:br/>
              <w:t>- Các bộ, cơ quan ngang bộ, cơ quan thuộc Chính phủ;</w:t>
            </w:r>
            <w:r>
              <w:rPr>
                <w:rFonts w:cs="Arial"/>
                <w:color w:val="000000"/>
                <w:sz w:val="24"/>
                <w:szCs w:val="24"/>
                <w:shd w:val="clear" w:color="auto" w:fill="FFFFFF"/>
              </w:rPr>
              <w:br/>
              <w:t>- HĐND, UBND các tỉnh, thành phố trực thuộc trung ương;</w:t>
            </w:r>
            <w:r>
              <w:rPr>
                <w:rFonts w:cs="Arial"/>
                <w:color w:val="000000"/>
                <w:sz w:val="24"/>
                <w:szCs w:val="24"/>
                <w:shd w:val="clear" w:color="auto" w:fill="FFFFFF"/>
              </w:rPr>
              <w:br/>
              <w:t>- Văn phòng Trung ương và các Ban của Đảng;</w:t>
            </w:r>
            <w:r>
              <w:rPr>
                <w:rFonts w:cs="Arial"/>
                <w:color w:val="000000"/>
                <w:sz w:val="24"/>
                <w:szCs w:val="24"/>
                <w:shd w:val="clear" w:color="auto" w:fill="FFFFFF"/>
              </w:rPr>
              <w:br/>
              <w:t>- Văn phòng Tổng Bí thư;</w:t>
            </w:r>
            <w:r>
              <w:rPr>
                <w:rFonts w:cs="Arial"/>
                <w:color w:val="000000"/>
                <w:sz w:val="24"/>
                <w:szCs w:val="24"/>
                <w:shd w:val="clear" w:color="auto" w:fill="FFFFFF"/>
              </w:rPr>
              <w:br/>
              <w:t>- Văn phòng Chủ tịch nước;</w:t>
            </w:r>
            <w:r>
              <w:rPr>
                <w:rFonts w:cs="Arial"/>
                <w:color w:val="000000"/>
                <w:sz w:val="24"/>
                <w:szCs w:val="24"/>
                <w:shd w:val="clear" w:color="auto" w:fill="FFFFFF"/>
              </w:rPr>
              <w:br/>
              <w:t>- Hội đồng dân tộc và các Ủy ban của Quốc hội;</w:t>
            </w:r>
            <w:r>
              <w:rPr>
                <w:rFonts w:cs="Arial"/>
                <w:color w:val="000000"/>
                <w:sz w:val="24"/>
                <w:szCs w:val="24"/>
                <w:shd w:val="clear" w:color="auto" w:fill="FFFFFF"/>
              </w:rPr>
              <w:br/>
              <w:t>- Văn phòng Quốc hội;</w:t>
            </w:r>
            <w:r>
              <w:rPr>
                <w:rFonts w:cs="Arial"/>
                <w:color w:val="000000"/>
                <w:sz w:val="24"/>
                <w:szCs w:val="24"/>
                <w:shd w:val="clear" w:color="auto" w:fill="FFFFFF"/>
              </w:rPr>
              <w:br/>
              <w:t>- Tòa án nhân dân tối cao;</w:t>
            </w:r>
            <w:r>
              <w:rPr>
                <w:rFonts w:cs="Arial"/>
                <w:color w:val="000000"/>
                <w:sz w:val="24"/>
                <w:szCs w:val="24"/>
                <w:shd w:val="clear" w:color="auto" w:fill="FFFFFF"/>
              </w:rPr>
              <w:br/>
              <w:t>- Viện kiểm sát nhân dân tối cao;</w:t>
            </w:r>
            <w:r>
              <w:rPr>
                <w:rFonts w:cs="Arial"/>
                <w:color w:val="000000"/>
                <w:sz w:val="24"/>
                <w:szCs w:val="24"/>
                <w:shd w:val="clear" w:color="auto" w:fill="FFFFFF"/>
              </w:rPr>
              <w:br/>
              <w:t>- Kiểm toán nhà nước;</w:t>
            </w:r>
            <w:r>
              <w:rPr>
                <w:rFonts w:cs="Arial"/>
                <w:color w:val="000000"/>
                <w:sz w:val="24"/>
                <w:szCs w:val="24"/>
                <w:shd w:val="clear" w:color="auto" w:fill="FFFFFF"/>
              </w:rPr>
              <w:br/>
              <w:t>- Ủy ban Giám sát tài chính Quốc gia;</w:t>
            </w:r>
            <w:r>
              <w:rPr>
                <w:rFonts w:cs="Arial"/>
                <w:color w:val="000000"/>
                <w:sz w:val="24"/>
                <w:szCs w:val="24"/>
                <w:shd w:val="clear" w:color="auto" w:fill="FFFFFF"/>
              </w:rPr>
              <w:br/>
              <w:t>- Ngân hàng Chính sách xã hội;</w:t>
            </w:r>
            <w:r>
              <w:rPr>
                <w:rFonts w:cs="Arial"/>
                <w:color w:val="000000"/>
                <w:sz w:val="24"/>
                <w:szCs w:val="24"/>
                <w:shd w:val="clear" w:color="auto" w:fill="FFFFFF"/>
              </w:rPr>
              <w:br/>
              <w:t>- Ngân hàng Phát triển Việt Nam;</w:t>
            </w:r>
            <w:r>
              <w:rPr>
                <w:rFonts w:cs="Arial"/>
                <w:color w:val="000000"/>
                <w:sz w:val="24"/>
                <w:szCs w:val="24"/>
                <w:shd w:val="clear" w:color="auto" w:fill="FFFFFF"/>
              </w:rPr>
              <w:br/>
              <w:t>- Ủy ban trung ương Mặt trận Tổ quốc Việt Nam;</w:t>
            </w:r>
            <w:r>
              <w:rPr>
                <w:rFonts w:cs="Arial"/>
                <w:color w:val="000000"/>
                <w:sz w:val="24"/>
                <w:szCs w:val="24"/>
                <w:shd w:val="clear" w:color="auto" w:fill="FFFFFF"/>
              </w:rPr>
              <w:br/>
              <w:t>- Cơ quan trung ương của các đoàn thể;</w:t>
            </w:r>
            <w:r>
              <w:rPr>
                <w:rFonts w:cs="Arial"/>
                <w:color w:val="000000"/>
                <w:sz w:val="24"/>
                <w:szCs w:val="24"/>
                <w:shd w:val="clear" w:color="auto" w:fill="FFFFFF"/>
              </w:rPr>
              <w:br/>
              <w:t>- VPCP: BTCN, các PCN, Trợ lý TTg, TGĐ Cổng TTĐT, các Vụ, Cục, đơn vị trực thuộc, Công báo;</w:t>
            </w:r>
            <w:r>
              <w:rPr>
                <w:rFonts w:cs="Arial"/>
                <w:color w:val="000000"/>
                <w:sz w:val="24"/>
                <w:szCs w:val="24"/>
                <w:shd w:val="clear" w:color="auto" w:fill="FFFFFF"/>
              </w:rPr>
              <w:br/>
              <w:t>- Lưu: VT, KTTH (2). </w:t>
            </w:r>
            <w:r>
              <w:rPr>
                <w:rFonts w:cs="Arial"/>
                <w:color w:val="000000"/>
                <w:sz w:val="24"/>
                <w:szCs w:val="24"/>
                <w:shd w:val="clear" w:color="auto" w:fill="FFFFFF"/>
                <w:vertAlign w:val="subscript"/>
              </w:rPr>
              <w:t>XH</w:t>
            </w:r>
          </w:p>
        </w:tc>
        <w:tc>
          <w:tcPr>
            <w:tcW w:w="155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191ED2" w14:textId="77777777" w:rsidR="00BE7A48" w:rsidRDefault="00BE7A48">
            <w:pPr>
              <w:spacing w:after="200"/>
              <w:jc w:val="center"/>
              <w:rPr>
                <w:rFonts w:cs="Arial"/>
                <w:sz w:val="24"/>
                <w:szCs w:val="24"/>
              </w:rPr>
            </w:pPr>
          </w:p>
        </w:tc>
        <w:tc>
          <w:tcPr>
            <w:tcW w:w="311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C015E2" w14:textId="77777777" w:rsidR="00BE7A48" w:rsidRDefault="00BE7A48">
            <w:pPr>
              <w:spacing w:after="200"/>
              <w:jc w:val="center"/>
              <w:rPr>
                <w:rFonts w:cs="Arial"/>
                <w:b/>
                <w:sz w:val="24"/>
                <w:szCs w:val="24"/>
              </w:rPr>
            </w:pPr>
            <w:r>
              <w:rPr>
                <w:rFonts w:cs="Arial"/>
                <w:b/>
                <w:sz w:val="24"/>
                <w:szCs w:val="24"/>
              </w:rPr>
              <w:t>THỦ TƯỚNG</w:t>
            </w:r>
          </w:p>
          <w:p w14:paraId="501476C3" w14:textId="77777777" w:rsidR="00BE7A48" w:rsidRDefault="00BE7A48">
            <w:pPr>
              <w:spacing w:after="200"/>
              <w:jc w:val="center"/>
              <w:rPr>
                <w:rFonts w:cs="Arial"/>
                <w:b/>
                <w:sz w:val="24"/>
                <w:szCs w:val="24"/>
              </w:rPr>
            </w:pPr>
          </w:p>
          <w:p w14:paraId="3C1CF3C0" w14:textId="77777777" w:rsidR="00BE7A48" w:rsidRDefault="00BE7A48">
            <w:pPr>
              <w:spacing w:after="200"/>
              <w:jc w:val="center"/>
              <w:rPr>
                <w:rFonts w:cs="Arial"/>
                <w:b/>
                <w:sz w:val="24"/>
                <w:szCs w:val="24"/>
              </w:rPr>
            </w:pPr>
          </w:p>
          <w:p w14:paraId="3DBFEF95" w14:textId="77777777" w:rsidR="00BE7A48" w:rsidRDefault="00BE7A48">
            <w:pPr>
              <w:spacing w:after="200"/>
              <w:jc w:val="center"/>
              <w:rPr>
                <w:rFonts w:cs="Arial"/>
                <w:b/>
                <w:sz w:val="24"/>
                <w:szCs w:val="24"/>
              </w:rPr>
            </w:pPr>
          </w:p>
          <w:p w14:paraId="0756F103" w14:textId="77777777" w:rsidR="00BE7A48" w:rsidRDefault="00BE7A48">
            <w:pPr>
              <w:spacing w:after="200"/>
              <w:jc w:val="center"/>
              <w:rPr>
                <w:rFonts w:cs="Arial"/>
                <w:b/>
                <w:sz w:val="24"/>
                <w:szCs w:val="24"/>
              </w:rPr>
            </w:pPr>
          </w:p>
          <w:p w14:paraId="2D68B750" w14:textId="77777777" w:rsidR="00BE7A48" w:rsidRDefault="00BE7A48">
            <w:pPr>
              <w:spacing w:after="200"/>
              <w:jc w:val="center"/>
              <w:rPr>
                <w:rFonts w:cs="Arial"/>
                <w:sz w:val="24"/>
                <w:szCs w:val="24"/>
              </w:rPr>
            </w:pPr>
            <w:r>
              <w:rPr>
                <w:rFonts w:cs="Arial"/>
                <w:b/>
                <w:sz w:val="24"/>
                <w:szCs w:val="24"/>
              </w:rPr>
              <w:t>Nguyễn Xuân Phúc</w:t>
            </w:r>
          </w:p>
        </w:tc>
      </w:tr>
      <w:bookmarkEnd w:id="4"/>
      <w:bookmarkEnd w:id="5"/>
      <w:bookmarkEnd w:id="6"/>
    </w:tbl>
    <w:p w14:paraId="268F3A3C" w14:textId="77777777" w:rsidR="00B26D7D" w:rsidRPr="00773500" w:rsidRDefault="00B26D7D" w:rsidP="00B26D7D">
      <w:pPr>
        <w:spacing w:before="0" w:after="200"/>
        <w:jc w:val="center"/>
        <w:rPr>
          <w:rFonts w:cs="Arial"/>
          <w:sz w:val="24"/>
          <w:szCs w:val="24"/>
        </w:rPr>
      </w:pPr>
    </w:p>
    <w:sectPr w:rsidR="00B26D7D" w:rsidRPr="00773500" w:rsidSect="00E12C18">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7F5FDA"/>
    <w:multiLevelType w:val="multilevel"/>
    <w:tmpl w:val="CEE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F23A6"/>
    <w:multiLevelType w:val="multilevel"/>
    <w:tmpl w:val="844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C2"/>
    <w:rsid w:val="00007BAC"/>
    <w:rsid w:val="00174CAF"/>
    <w:rsid w:val="00187B82"/>
    <w:rsid w:val="002224C2"/>
    <w:rsid w:val="0033194E"/>
    <w:rsid w:val="003656AC"/>
    <w:rsid w:val="00373360"/>
    <w:rsid w:val="003C007B"/>
    <w:rsid w:val="003D5A19"/>
    <w:rsid w:val="003D7E03"/>
    <w:rsid w:val="00500672"/>
    <w:rsid w:val="00552AF5"/>
    <w:rsid w:val="00575B01"/>
    <w:rsid w:val="006027AE"/>
    <w:rsid w:val="0060738F"/>
    <w:rsid w:val="00706340"/>
    <w:rsid w:val="0077231D"/>
    <w:rsid w:val="00773500"/>
    <w:rsid w:val="007C6529"/>
    <w:rsid w:val="007F650F"/>
    <w:rsid w:val="008210F5"/>
    <w:rsid w:val="00974E34"/>
    <w:rsid w:val="00AD3AAD"/>
    <w:rsid w:val="00B10355"/>
    <w:rsid w:val="00B26D7D"/>
    <w:rsid w:val="00B53270"/>
    <w:rsid w:val="00B85CBA"/>
    <w:rsid w:val="00BC5625"/>
    <w:rsid w:val="00BD07A1"/>
    <w:rsid w:val="00BE7A48"/>
    <w:rsid w:val="00C06E0C"/>
    <w:rsid w:val="00C361F0"/>
    <w:rsid w:val="00D01B45"/>
    <w:rsid w:val="00DC3079"/>
    <w:rsid w:val="00E12C18"/>
    <w:rsid w:val="00E16564"/>
    <w:rsid w:val="00F07D08"/>
    <w:rsid w:val="00F579DF"/>
    <w:rsid w:val="00F66CFF"/>
    <w:rsid w:val="00FF2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BA4E"/>
  <w15:docId w15:val="{8512E4B9-6A53-4EAC-85FB-2929A7DA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Cs w:val="22"/>
        <w:lang w:val="en-US" w:eastAsia="en-US" w:bidi="ar-SA"/>
      </w:rPr>
    </w:rPrDefault>
    <w:pPrDefault>
      <w:pPr>
        <w:spacing w:before="20" w:after="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24C2"/>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2224C2"/>
    <w:rPr>
      <w:b/>
      <w:bCs/>
    </w:rPr>
  </w:style>
  <w:style w:type="paragraph" w:customStyle="1" w:styleId="style">
    <w:name w:val="style"/>
    <w:basedOn w:val="Normal"/>
    <w:rsid w:val="00D01B45"/>
    <w:pPr>
      <w:spacing w:before="100" w:beforeAutospacing="1" w:after="100" w:afterAutospacing="1"/>
      <w:jc w:val="left"/>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01B45"/>
    <w:rPr>
      <w:color w:val="0000FF"/>
      <w:u w:val="single"/>
    </w:rPr>
  </w:style>
  <w:style w:type="paragraph" w:styleId="BalloonText">
    <w:name w:val="Balloon Text"/>
    <w:basedOn w:val="Normal"/>
    <w:link w:val="BalloonTextChar"/>
    <w:uiPriority w:val="99"/>
    <w:semiHidden/>
    <w:unhideWhenUsed/>
    <w:rsid w:val="00D01B4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B45"/>
    <w:rPr>
      <w:rFonts w:ascii="Tahoma" w:hAnsi="Tahoma" w:cs="Tahoma"/>
      <w:sz w:val="16"/>
      <w:szCs w:val="16"/>
    </w:rPr>
  </w:style>
  <w:style w:type="paragraph" w:customStyle="1" w:styleId="ndieund">
    <w:name w:val="ndieund"/>
    <w:basedOn w:val="Normal"/>
    <w:rsid w:val="006027AE"/>
    <w:pPr>
      <w:spacing w:before="100" w:beforeAutospacing="1" w:after="100" w:afterAutospacing="1"/>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6027AE"/>
    <w:rPr>
      <w:i/>
      <w:iCs/>
    </w:rPr>
  </w:style>
  <w:style w:type="character" w:customStyle="1" w:styleId="vldocrldnamec2">
    <w:name w:val="vldocrldnamec2"/>
    <w:basedOn w:val="DefaultParagraphFont"/>
    <w:rsid w:val="00DC3079"/>
  </w:style>
  <w:style w:type="character" w:customStyle="1" w:styleId="apple-converted-space">
    <w:name w:val="apple-converted-space"/>
    <w:basedOn w:val="DefaultParagraphFont"/>
    <w:rsid w:val="00DC3079"/>
  </w:style>
  <w:style w:type="table" w:styleId="TableGrid">
    <w:name w:val="Table Grid"/>
    <w:basedOn w:val="TableNormal"/>
    <w:uiPriority w:val="59"/>
    <w:rsid w:val="00FF286C"/>
    <w:pPr>
      <w:spacing w:before="0" w:after="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7A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964845">
      <w:bodyDiv w:val="1"/>
      <w:marLeft w:val="0"/>
      <w:marRight w:val="0"/>
      <w:marTop w:val="0"/>
      <w:marBottom w:val="0"/>
      <w:divBdr>
        <w:top w:val="none" w:sz="0" w:space="0" w:color="auto"/>
        <w:left w:val="none" w:sz="0" w:space="0" w:color="auto"/>
        <w:bottom w:val="none" w:sz="0" w:space="0" w:color="auto"/>
        <w:right w:val="none" w:sz="0" w:space="0" w:color="auto"/>
      </w:divBdr>
    </w:div>
    <w:div w:id="162819525">
      <w:bodyDiv w:val="1"/>
      <w:marLeft w:val="0"/>
      <w:marRight w:val="0"/>
      <w:marTop w:val="0"/>
      <w:marBottom w:val="0"/>
      <w:divBdr>
        <w:top w:val="none" w:sz="0" w:space="0" w:color="auto"/>
        <w:left w:val="none" w:sz="0" w:space="0" w:color="auto"/>
        <w:bottom w:val="none" w:sz="0" w:space="0" w:color="auto"/>
        <w:right w:val="none" w:sz="0" w:space="0" w:color="auto"/>
      </w:divBdr>
    </w:div>
    <w:div w:id="356469409">
      <w:bodyDiv w:val="1"/>
      <w:marLeft w:val="0"/>
      <w:marRight w:val="0"/>
      <w:marTop w:val="0"/>
      <w:marBottom w:val="0"/>
      <w:divBdr>
        <w:top w:val="none" w:sz="0" w:space="0" w:color="auto"/>
        <w:left w:val="none" w:sz="0" w:space="0" w:color="auto"/>
        <w:bottom w:val="none" w:sz="0" w:space="0" w:color="auto"/>
        <w:right w:val="none" w:sz="0" w:space="0" w:color="auto"/>
      </w:divBdr>
    </w:div>
    <w:div w:id="433944557">
      <w:bodyDiv w:val="1"/>
      <w:marLeft w:val="0"/>
      <w:marRight w:val="0"/>
      <w:marTop w:val="0"/>
      <w:marBottom w:val="0"/>
      <w:divBdr>
        <w:top w:val="none" w:sz="0" w:space="0" w:color="auto"/>
        <w:left w:val="none" w:sz="0" w:space="0" w:color="auto"/>
        <w:bottom w:val="none" w:sz="0" w:space="0" w:color="auto"/>
        <w:right w:val="none" w:sz="0" w:space="0" w:color="auto"/>
      </w:divBdr>
    </w:div>
    <w:div w:id="547647765">
      <w:bodyDiv w:val="1"/>
      <w:marLeft w:val="0"/>
      <w:marRight w:val="0"/>
      <w:marTop w:val="0"/>
      <w:marBottom w:val="0"/>
      <w:divBdr>
        <w:top w:val="none" w:sz="0" w:space="0" w:color="auto"/>
        <w:left w:val="none" w:sz="0" w:space="0" w:color="auto"/>
        <w:bottom w:val="none" w:sz="0" w:space="0" w:color="auto"/>
        <w:right w:val="none" w:sz="0" w:space="0" w:color="auto"/>
      </w:divBdr>
    </w:div>
    <w:div w:id="617958314">
      <w:bodyDiv w:val="1"/>
      <w:marLeft w:val="0"/>
      <w:marRight w:val="0"/>
      <w:marTop w:val="0"/>
      <w:marBottom w:val="0"/>
      <w:divBdr>
        <w:top w:val="none" w:sz="0" w:space="0" w:color="auto"/>
        <w:left w:val="none" w:sz="0" w:space="0" w:color="auto"/>
        <w:bottom w:val="none" w:sz="0" w:space="0" w:color="auto"/>
        <w:right w:val="none" w:sz="0" w:space="0" w:color="auto"/>
      </w:divBdr>
    </w:div>
    <w:div w:id="673609248">
      <w:bodyDiv w:val="1"/>
      <w:marLeft w:val="0"/>
      <w:marRight w:val="0"/>
      <w:marTop w:val="0"/>
      <w:marBottom w:val="0"/>
      <w:divBdr>
        <w:top w:val="none" w:sz="0" w:space="0" w:color="auto"/>
        <w:left w:val="none" w:sz="0" w:space="0" w:color="auto"/>
        <w:bottom w:val="none" w:sz="0" w:space="0" w:color="auto"/>
        <w:right w:val="none" w:sz="0" w:space="0" w:color="auto"/>
      </w:divBdr>
    </w:div>
    <w:div w:id="1114249824">
      <w:bodyDiv w:val="1"/>
      <w:marLeft w:val="0"/>
      <w:marRight w:val="0"/>
      <w:marTop w:val="0"/>
      <w:marBottom w:val="0"/>
      <w:divBdr>
        <w:top w:val="none" w:sz="0" w:space="0" w:color="auto"/>
        <w:left w:val="none" w:sz="0" w:space="0" w:color="auto"/>
        <w:bottom w:val="none" w:sz="0" w:space="0" w:color="auto"/>
        <w:right w:val="none" w:sz="0" w:space="0" w:color="auto"/>
      </w:divBdr>
    </w:div>
    <w:div w:id="1123570525">
      <w:bodyDiv w:val="1"/>
      <w:marLeft w:val="0"/>
      <w:marRight w:val="0"/>
      <w:marTop w:val="0"/>
      <w:marBottom w:val="0"/>
      <w:divBdr>
        <w:top w:val="none" w:sz="0" w:space="0" w:color="auto"/>
        <w:left w:val="none" w:sz="0" w:space="0" w:color="auto"/>
        <w:bottom w:val="none" w:sz="0" w:space="0" w:color="auto"/>
        <w:right w:val="none" w:sz="0" w:space="0" w:color="auto"/>
      </w:divBdr>
    </w:div>
    <w:div w:id="1317762418">
      <w:bodyDiv w:val="1"/>
      <w:marLeft w:val="0"/>
      <w:marRight w:val="0"/>
      <w:marTop w:val="0"/>
      <w:marBottom w:val="0"/>
      <w:divBdr>
        <w:top w:val="none" w:sz="0" w:space="0" w:color="auto"/>
        <w:left w:val="none" w:sz="0" w:space="0" w:color="auto"/>
        <w:bottom w:val="none" w:sz="0" w:space="0" w:color="auto"/>
        <w:right w:val="none" w:sz="0" w:space="0" w:color="auto"/>
      </w:divBdr>
      <w:divsChild>
        <w:div w:id="1043676563">
          <w:marLeft w:val="0"/>
          <w:marRight w:val="0"/>
          <w:marTop w:val="0"/>
          <w:marBottom w:val="0"/>
          <w:divBdr>
            <w:top w:val="none" w:sz="0" w:space="0" w:color="auto"/>
            <w:left w:val="none" w:sz="0" w:space="0" w:color="auto"/>
            <w:bottom w:val="none" w:sz="0" w:space="0" w:color="auto"/>
            <w:right w:val="none" w:sz="0" w:space="0" w:color="auto"/>
          </w:divBdr>
          <w:divsChild>
            <w:div w:id="2038000252">
              <w:marLeft w:val="0"/>
              <w:marRight w:val="0"/>
              <w:marTop w:val="0"/>
              <w:marBottom w:val="0"/>
              <w:divBdr>
                <w:top w:val="single" w:sz="12" w:space="0" w:color="F89B1A"/>
                <w:left w:val="single" w:sz="6" w:space="0" w:color="C8D4DB"/>
                <w:bottom w:val="none" w:sz="0" w:space="0" w:color="auto"/>
                <w:right w:val="single" w:sz="6" w:space="0" w:color="C8D4DB"/>
              </w:divBdr>
              <w:divsChild>
                <w:div w:id="1042512307">
                  <w:marLeft w:val="0"/>
                  <w:marRight w:val="0"/>
                  <w:marTop w:val="0"/>
                  <w:marBottom w:val="0"/>
                  <w:divBdr>
                    <w:top w:val="none" w:sz="0" w:space="0" w:color="auto"/>
                    <w:left w:val="none" w:sz="0" w:space="0" w:color="auto"/>
                    <w:bottom w:val="none" w:sz="0" w:space="0" w:color="auto"/>
                    <w:right w:val="none" w:sz="0" w:space="0" w:color="auto"/>
                  </w:divBdr>
                  <w:divsChild>
                    <w:div w:id="1343699223">
                      <w:marLeft w:val="0"/>
                      <w:marRight w:val="0"/>
                      <w:marTop w:val="0"/>
                      <w:marBottom w:val="0"/>
                      <w:divBdr>
                        <w:top w:val="none" w:sz="0" w:space="0" w:color="auto"/>
                        <w:left w:val="none" w:sz="0" w:space="0" w:color="auto"/>
                        <w:bottom w:val="none" w:sz="0" w:space="0" w:color="auto"/>
                        <w:right w:val="none" w:sz="0" w:space="0" w:color="auto"/>
                      </w:divBdr>
                      <w:divsChild>
                        <w:div w:id="53160565">
                          <w:marLeft w:val="0"/>
                          <w:marRight w:val="225"/>
                          <w:marTop w:val="0"/>
                          <w:marBottom w:val="0"/>
                          <w:divBdr>
                            <w:top w:val="none" w:sz="0" w:space="0" w:color="auto"/>
                            <w:left w:val="none" w:sz="0" w:space="0" w:color="auto"/>
                            <w:bottom w:val="none" w:sz="0" w:space="0" w:color="auto"/>
                            <w:right w:val="none" w:sz="0" w:space="0" w:color="auto"/>
                          </w:divBdr>
                          <w:divsChild>
                            <w:div w:id="1366104766">
                              <w:marLeft w:val="0"/>
                              <w:marRight w:val="0"/>
                              <w:marTop w:val="0"/>
                              <w:marBottom w:val="0"/>
                              <w:divBdr>
                                <w:top w:val="none" w:sz="0" w:space="0" w:color="auto"/>
                                <w:left w:val="none" w:sz="0" w:space="0" w:color="auto"/>
                                <w:bottom w:val="none" w:sz="0" w:space="0" w:color="auto"/>
                                <w:right w:val="none" w:sz="0" w:space="0" w:color="auto"/>
                              </w:divBdr>
                              <w:divsChild>
                                <w:div w:id="1790737459">
                                  <w:marLeft w:val="0"/>
                                  <w:marRight w:val="0"/>
                                  <w:marTop w:val="0"/>
                                  <w:marBottom w:val="0"/>
                                  <w:divBdr>
                                    <w:top w:val="none" w:sz="0" w:space="0" w:color="auto"/>
                                    <w:left w:val="none" w:sz="0" w:space="0" w:color="auto"/>
                                    <w:bottom w:val="none" w:sz="0" w:space="0" w:color="auto"/>
                                    <w:right w:val="none" w:sz="0" w:space="0" w:color="auto"/>
                                  </w:divBdr>
                                  <w:divsChild>
                                    <w:div w:id="1256478649">
                                      <w:marLeft w:val="0"/>
                                      <w:marRight w:val="0"/>
                                      <w:marTop w:val="0"/>
                                      <w:marBottom w:val="0"/>
                                      <w:divBdr>
                                        <w:top w:val="none" w:sz="0" w:space="0" w:color="auto"/>
                                        <w:left w:val="none" w:sz="0" w:space="0" w:color="auto"/>
                                        <w:bottom w:val="none" w:sz="0" w:space="0" w:color="auto"/>
                                        <w:right w:val="none" w:sz="0" w:space="0" w:color="auto"/>
                                      </w:divBdr>
                                      <w:divsChild>
                                        <w:div w:id="16562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002624">
                          <w:marLeft w:val="0"/>
                          <w:marRight w:val="0"/>
                          <w:marTop w:val="150"/>
                          <w:marBottom w:val="0"/>
                          <w:divBdr>
                            <w:top w:val="none" w:sz="0" w:space="0" w:color="auto"/>
                            <w:left w:val="none" w:sz="0" w:space="0" w:color="auto"/>
                            <w:bottom w:val="none" w:sz="0" w:space="0" w:color="auto"/>
                            <w:right w:val="none" w:sz="0" w:space="0" w:color="auto"/>
                          </w:divBdr>
                          <w:divsChild>
                            <w:div w:id="756026384">
                              <w:marLeft w:val="0"/>
                              <w:marRight w:val="0"/>
                              <w:marTop w:val="0"/>
                              <w:marBottom w:val="0"/>
                              <w:divBdr>
                                <w:top w:val="single" w:sz="2" w:space="0" w:color="BDC8D5"/>
                                <w:left w:val="single" w:sz="2" w:space="0" w:color="BDC8D5"/>
                                <w:bottom w:val="single" w:sz="2" w:space="8" w:color="BDC8D5"/>
                                <w:right w:val="single" w:sz="2" w:space="0" w:color="BDC8D5"/>
                              </w:divBdr>
                              <w:divsChild>
                                <w:div w:id="1750807421">
                                  <w:marLeft w:val="0"/>
                                  <w:marRight w:val="0"/>
                                  <w:marTop w:val="0"/>
                                  <w:marBottom w:val="0"/>
                                  <w:divBdr>
                                    <w:top w:val="none" w:sz="0" w:space="0" w:color="auto"/>
                                    <w:left w:val="none" w:sz="0" w:space="0" w:color="auto"/>
                                    <w:bottom w:val="none" w:sz="0" w:space="0" w:color="auto"/>
                                    <w:right w:val="none" w:sz="0" w:space="0" w:color="auto"/>
                                  </w:divBdr>
                                </w:div>
                                <w:div w:id="9434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296194">
      <w:bodyDiv w:val="1"/>
      <w:marLeft w:val="0"/>
      <w:marRight w:val="0"/>
      <w:marTop w:val="0"/>
      <w:marBottom w:val="0"/>
      <w:divBdr>
        <w:top w:val="none" w:sz="0" w:space="0" w:color="auto"/>
        <w:left w:val="none" w:sz="0" w:space="0" w:color="auto"/>
        <w:bottom w:val="none" w:sz="0" w:space="0" w:color="auto"/>
        <w:right w:val="none" w:sz="0" w:space="0" w:color="auto"/>
      </w:divBdr>
    </w:div>
    <w:div w:id="200023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Target="theme/theme1.xml" Type="http://schemas.openxmlformats.org/officeDocument/2006/relationships/theme" Id="rId8"></Relationship><Relationship Target="settings.xml" Type="http://schemas.openxmlformats.org/officeDocument/2006/relationships/settings" Id="rId3"></Relationship><Relationship Target="fontTable.xml" Type="http://schemas.openxmlformats.org/officeDocument/2006/relationships/fontTable" Id="rId7"></Relationship><Relationship Target="styles.xml" Type="http://schemas.openxmlformats.org/officeDocument/2006/relationships/styles" Id="rId2"></Relationship><Relationship Target="numbering.xml" Type="http://schemas.openxmlformats.org/officeDocument/2006/relationships/numbering" Id="rId1"></Relationship><Relationship TargetMode="External" Target="https://thuvienphapluat.vn/van-ban/bo-may-hanh-chinh/nghi-quyet-117-nq-cp-2017-phien-hop-chinh-phu-thuong-ky-thang-10-366799.aspx" Type="http://schemas.openxmlformats.org/officeDocument/2006/relationships/hyperlink" Id="rId6"></Relationship><Relationship TargetMode="External" Target="https://thuvienphapluat.vn/van-ban/vi-pham-hanh-chinh/nghi-dinh-139-2017-nd-cp-xu-phat-vi-pham-hanh-chinh-dau-tu-xay-dung-khai-thac-khoang-san-296872.aspx" Type="http://schemas.openxmlformats.org/officeDocument/2006/relationships/hyperlink" Id="rId5"></Relationship><Relationship Target="webSettings.xml" Type="http://schemas.openxmlformats.org/officeDocument/2006/relationships/webSettings" Id="rId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Quyen</dc:creator>
  <cp:lastModifiedBy>liuriu@outlook.com</cp:lastModifiedBy>
  <cp:revision>7</cp:revision>
  <dcterms:created xsi:type="dcterms:W3CDTF">2018-07-03T08:33:00Z</dcterms:created>
  <dcterms:modified xsi:type="dcterms:W3CDTF">2018-08-16T09:36:00Z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DISdDocName">
    <vt:lpwstr>TOAAN007668</vt:lpwstr>
  </property>
  <property fmtid="{D5CDD505-2E9C-101B-9397-08002B2CF9AE}" pid="3" name="DISProperties">
    <vt:lpwstr>DISdDocName,DIScgiUrl,DISdUser,DISdID,DISidcName,DISTaskPaneUrl</vt:lpwstr>
  </property>
  <property fmtid="{D5CDD505-2E9C-101B-9397-08002B2CF9AE}" pid="4" name="DIScgiUrl">
    <vt:lpwstr>http://dc-content-01:16200/cs/idcplg</vt:lpwstr>
  </property>
  <property fmtid="{D5CDD505-2E9C-101B-9397-08002B2CF9AE}" pid="5" name="DISdUser">
    <vt:lpwstr>anonymous</vt:lpwstr>
  </property>
  <property fmtid="{D5CDD505-2E9C-101B-9397-08002B2CF9AE}" pid="6" name="DISdID">
    <vt:lpwstr>247994</vt:lpwstr>
  </property>
  <property fmtid="{D5CDD505-2E9C-101B-9397-08002B2CF9AE}" pid="7" name="DISidcName">
    <vt:lpwstr>dcwcc</vt:lpwstr>
  </property>
  <property fmtid="{D5CDD505-2E9C-101B-9397-08002B2CF9AE}" pid="8" name="DISTaskPaneUrl">
    <vt:lpwstr>http://dc-content-01:16200/cs/idcplg?IdcService=DESKTOP_DOC_INFO&amp;dDocName=TOAAN007668&amp;dID=247994&amp;ClientControlled=DocMan,taskpane&amp;coreContentOnly=1</vt:lpwstr>
  </property>
</Properties>
</file>