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391A245" w:rsidR="00EE37A3" w:rsidRDefault="008B1ED8">
      <w:pPr>
        <w:ind w:right="754"/>
        <w:jc w:val="both"/>
        <w:rPr>
          <w:rFonts w:ascii="Oswald Medium" w:eastAsia="Oswald Medium" w:hAnsi="Oswald Medium" w:cs="Oswald Medium"/>
          <w:color w:val="FFFFFF"/>
          <w:sz w:val="72"/>
          <w:szCs w:val="72"/>
        </w:rPr>
      </w:pPr>
      <w:r>
        <w:rPr>
          <w:rFonts w:ascii="Oswald Medium" w:eastAsia="Oswald Medium" w:hAnsi="Oswald Medium" w:cs="Oswald Medium"/>
          <w:color w:val="FFFFFF"/>
          <w:sz w:val="72"/>
          <w:szCs w:val="72"/>
        </w:rPr>
        <w:t xml:space="preserve">ANEXO </w:t>
      </w:r>
      <w:r>
        <w:rPr>
          <w:noProof/>
        </w:rPr>
        <w:drawing>
          <wp:anchor distT="0" distB="0" distL="0" distR="0" simplePos="0" relativeHeight="251658240" behindDoc="1" locked="0" layoutInCell="1" hidden="0" allowOverlap="1" wp14:anchorId="6FDD593D" wp14:editId="19B5594C">
            <wp:simplePos x="0" y="0"/>
            <wp:positionH relativeFrom="column">
              <wp:posOffset>-1097040</wp:posOffset>
            </wp:positionH>
            <wp:positionV relativeFrom="paragraph">
              <wp:posOffset>-1004749</wp:posOffset>
            </wp:positionV>
            <wp:extent cx="7656702" cy="10834777"/>
            <wp:effectExtent l="0" t="0" r="0" b="0"/>
            <wp:wrapNone/>
            <wp:docPr id="206898381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7656702" cy="10834777"/>
                    </a:xfrm>
                    <a:prstGeom prst="rect">
                      <a:avLst/>
                    </a:prstGeom>
                    <a:ln/>
                  </pic:spPr>
                </pic:pic>
              </a:graphicData>
            </a:graphic>
          </wp:anchor>
        </w:drawing>
      </w:r>
      <w:r>
        <w:rPr>
          <w:rFonts w:ascii="Oswald Medium" w:eastAsia="Oswald Medium" w:hAnsi="Oswald Medium" w:cs="Oswald Medium"/>
          <w:color w:val="FFFFFF"/>
          <w:sz w:val="72"/>
          <w:szCs w:val="72"/>
        </w:rPr>
        <w:t>4</w:t>
      </w:r>
    </w:p>
    <w:p w14:paraId="00000002" w14:textId="77777777" w:rsidR="00EE37A3" w:rsidRDefault="00EE37A3">
      <w:pPr>
        <w:ind w:right="754"/>
        <w:jc w:val="both"/>
        <w:rPr>
          <w:rFonts w:ascii="Oswald Medium" w:eastAsia="Oswald Medium" w:hAnsi="Oswald Medium" w:cs="Oswald Medium"/>
          <w:color w:val="FFFFFF"/>
          <w:sz w:val="72"/>
          <w:szCs w:val="72"/>
        </w:rPr>
      </w:pPr>
    </w:p>
    <w:p w14:paraId="00000003" w14:textId="319EBE41" w:rsidR="00EE37A3" w:rsidRDefault="008B1ED8">
      <w:pPr>
        <w:ind w:right="754"/>
        <w:rPr>
          <w:rFonts w:ascii="Oswald Medium" w:eastAsia="Oswald Medium" w:hAnsi="Oswald Medium" w:cs="Oswald Medium"/>
          <w:color w:val="FFFFFF"/>
          <w:sz w:val="72"/>
          <w:szCs w:val="72"/>
        </w:rPr>
      </w:pPr>
      <w:r>
        <w:rPr>
          <w:rFonts w:ascii="Oswald Medium" w:eastAsia="Oswald Medium" w:hAnsi="Oswald Medium" w:cs="Oswald Medium"/>
          <w:color w:val="FFFFFF"/>
          <w:sz w:val="72"/>
          <w:szCs w:val="72"/>
        </w:rPr>
        <w:t xml:space="preserve">RELATORIA DEL TALLER DE ANÁLISIS DE VULNERABILIDAD Y FRAGILIDAD </w:t>
      </w:r>
      <w:r>
        <w:br w:type="page"/>
      </w:r>
      <w:r>
        <w:rPr>
          <w:noProof/>
        </w:rPr>
        <mc:AlternateContent>
          <mc:Choice Requires="wps">
            <w:drawing>
              <wp:anchor distT="0" distB="0" distL="114300" distR="114300" simplePos="0" relativeHeight="251659264" behindDoc="0" locked="0" layoutInCell="1" hidden="0" allowOverlap="1" wp14:anchorId="5D2F6DE2" wp14:editId="7F97568F">
                <wp:simplePos x="0" y="0"/>
                <wp:positionH relativeFrom="column">
                  <wp:posOffset>-63499</wp:posOffset>
                </wp:positionH>
                <wp:positionV relativeFrom="paragraph">
                  <wp:posOffset>2717800</wp:posOffset>
                </wp:positionV>
                <wp:extent cx="6134100" cy="1526540"/>
                <wp:effectExtent l="0" t="0" r="0" b="0"/>
                <wp:wrapNone/>
                <wp:docPr id="2068983809" name="Rectángulo 2068983809"/>
                <wp:cNvGraphicFramePr/>
                <a:graphic xmlns:a="http://schemas.openxmlformats.org/drawingml/2006/main">
                  <a:graphicData uri="http://schemas.microsoft.com/office/word/2010/wordprocessingShape">
                    <wps:wsp>
                      <wps:cNvSpPr/>
                      <wps:spPr>
                        <a:xfrm>
                          <a:off x="2283713" y="3021493"/>
                          <a:ext cx="6124575" cy="1517015"/>
                        </a:xfrm>
                        <a:prstGeom prst="rect">
                          <a:avLst/>
                        </a:prstGeom>
                        <a:noFill/>
                        <a:ln>
                          <a:noFill/>
                        </a:ln>
                      </wps:spPr>
                      <wps:txbx>
                        <w:txbxContent>
                          <w:p w14:paraId="15977B5E" w14:textId="77777777" w:rsidR="00EE37A3" w:rsidRDefault="00000000">
                            <w:pPr>
                              <w:spacing w:line="275" w:lineRule="auto"/>
                              <w:ind w:right="754"/>
                              <w:textDirection w:val="btLr"/>
                            </w:pPr>
                            <w:r>
                              <w:rPr>
                                <w:rFonts w:ascii="Oswald Medium" w:eastAsia="Oswald Medium" w:hAnsi="Oswald Medium" w:cs="Oswald Medium"/>
                                <w:color w:val="FFFFFF"/>
                                <w:sz w:val="36"/>
                              </w:rPr>
                              <w:t>Proyecto: Paz, Acción, Resiliencia y Sostenibilidad en los Paisajes de América Latina (PARES)</w:t>
                            </w:r>
                          </w:p>
                          <w:p w14:paraId="6F6470D4" w14:textId="77777777" w:rsidR="00EE37A3" w:rsidRDefault="00000000">
                            <w:pPr>
                              <w:spacing w:line="275" w:lineRule="auto"/>
                              <w:ind w:right="754"/>
                              <w:jc w:val="center"/>
                              <w:textDirection w:val="btLr"/>
                            </w:pPr>
                            <w:r>
                              <w:rPr>
                                <w:rFonts w:ascii="Oswald Medium" w:eastAsia="Oswald Medium" w:hAnsi="Oswald Medium" w:cs="Oswald Medium"/>
                                <w:color w:val="FFFFFF"/>
                                <w:sz w:val="36"/>
                              </w:rPr>
                              <w:t xml:space="preserve"> </w:t>
                            </w:r>
                          </w:p>
                        </w:txbxContent>
                      </wps:txbx>
                      <wps:bodyPr spcFirstLastPara="1" wrap="square" lIns="91425" tIns="45700" rIns="91425" bIns="45700" anchor="t" anchorCtr="0">
                        <a:noAutofit/>
                      </wps:bodyPr>
                    </wps:wsp>
                  </a:graphicData>
                </a:graphic>
              </wp:anchor>
            </w:drawing>
          </mc:Choice>
          <mc:Fallback>
            <w:pict>
              <v:rect w14:anchorId="5D2F6DE2" id="Rectángulo 2068983809" o:spid="_x0000_s1026" style="position:absolute;margin-left:-5pt;margin-top:214pt;width:483pt;height:120.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" filled="f" stroked="f">
                <v:textbox inset="2.53958mm,1.2694mm,2.53958mm,1.2694mm">
                  <w:txbxContent>
                    <w:p w14:paraId="15977B5E" w14:textId="77777777" w:rsidR="00EE37A3" w:rsidRDefault="00000000">
                      <w:pPr>
                        <w:spacing w:line="275" w:lineRule="auto"/>
                        <w:ind w:right="754"/>
                        <w:textDirection w:val="btLr"/>
                      </w:pPr>
                      <w:r>
                        <w:rPr>
                          <w:rFonts w:ascii="Oswald Medium" w:eastAsia="Oswald Medium" w:hAnsi="Oswald Medium" w:cs="Oswald Medium"/>
                          <w:color w:val="FFFFFF"/>
                          <w:sz w:val="36"/>
                        </w:rPr>
                        <w:t>Proyecto: Paz, Acción, Resiliencia y Sostenibilidad en los Paisajes de América Latina (PARES)</w:t>
                      </w:r>
                    </w:p>
                    <w:p w14:paraId="6F6470D4" w14:textId="77777777" w:rsidR="00EE37A3" w:rsidRDefault="00000000">
                      <w:pPr>
                        <w:spacing w:line="275" w:lineRule="auto"/>
                        <w:ind w:right="754"/>
                        <w:jc w:val="center"/>
                        <w:textDirection w:val="btLr"/>
                      </w:pPr>
                      <w:r>
                        <w:rPr>
                          <w:rFonts w:ascii="Oswald Medium" w:eastAsia="Oswald Medium" w:hAnsi="Oswald Medium" w:cs="Oswald Medium"/>
                          <w:color w:val="FFFFFF"/>
                          <w:sz w:val="36"/>
                        </w:rPr>
                        <w:t xml:space="preserve"> </w:t>
                      </w:r>
                    </w:p>
                  </w:txbxContent>
                </v:textbox>
              </v:rect>
            </w:pict>
          </mc:Fallback>
        </mc:AlternateContent>
      </w:r>
    </w:p>
    <w:p w14:paraId="00000004" w14:textId="77777777" w:rsidR="00EE37A3" w:rsidRDefault="00000000">
      <w:pPr>
        <w:keepNext/>
        <w:keepLines/>
        <w:numPr>
          <w:ilvl w:val="0"/>
          <w:numId w:val="1"/>
        </w:numPr>
        <w:pBdr>
          <w:top w:val="nil"/>
          <w:left w:val="nil"/>
          <w:bottom w:val="nil"/>
          <w:right w:val="nil"/>
          <w:between w:val="nil"/>
        </w:pBdr>
        <w:spacing w:before="480"/>
        <w:ind w:hanging="360"/>
        <w:jc w:val="both"/>
        <w:rPr>
          <w:rFonts w:ascii="Oswald" w:eastAsia="Oswald" w:hAnsi="Oswald" w:cs="Oswald"/>
          <w:color w:val="B71373"/>
          <w:sz w:val="32"/>
          <w:szCs w:val="32"/>
        </w:rPr>
      </w:pPr>
      <w:r>
        <w:rPr>
          <w:rFonts w:ascii="Oswald" w:eastAsia="Oswald" w:hAnsi="Oswald" w:cs="Oswald"/>
          <w:color w:val="B71373"/>
          <w:sz w:val="32"/>
          <w:szCs w:val="32"/>
        </w:rPr>
        <w:lastRenderedPageBreak/>
        <w:t>INFORMACIÓN GENERAL</w:t>
      </w:r>
    </w:p>
    <w:p w14:paraId="00000005" w14:textId="77777777" w:rsidR="00EE37A3" w:rsidRDefault="00000000">
      <w:pPr>
        <w:spacing w:before="280" w:after="280"/>
        <w:rPr>
          <w:rFonts w:ascii="Noto Sans" w:eastAsia="Noto Sans" w:hAnsi="Noto Sans" w:cs="Noto Sans"/>
          <w:b/>
        </w:rPr>
      </w:pPr>
      <w:r>
        <w:rPr>
          <w:rFonts w:ascii="Noto Sans" w:eastAsia="Noto Sans" w:hAnsi="Noto Sans" w:cs="Noto Sans"/>
        </w:rPr>
        <w:t xml:space="preserve">Organización: </w:t>
      </w:r>
      <w:r>
        <w:rPr>
          <w:rFonts w:ascii="Noto Sans" w:eastAsia="Noto Sans" w:hAnsi="Noto Sans" w:cs="Noto Sans"/>
          <w:b/>
        </w:rPr>
        <w:t>Fondo de Conservación El Triunfo</w:t>
      </w:r>
      <w:r>
        <w:rPr>
          <w:rFonts w:ascii="Noto Sans" w:eastAsia="Noto Sans" w:hAnsi="Noto Sans" w:cs="Noto Sans"/>
        </w:rPr>
        <w:br/>
        <w:t xml:space="preserve">País y Paisaje: </w:t>
      </w:r>
      <w:r>
        <w:rPr>
          <w:rFonts w:ascii="Noto Sans" w:eastAsia="Noto Sans" w:hAnsi="Noto Sans" w:cs="Noto Sans"/>
          <w:b/>
        </w:rPr>
        <w:t>México, Chiapas,</w:t>
      </w:r>
      <w:sdt>
        <w:sdtPr>
          <w:tag w:val="goog_rdk_0"/>
          <w:id w:val="223113366"/>
        </w:sdtPr>
        <w:sdtContent/>
      </w:sdt>
      <w:r>
        <w:rPr>
          <w:rFonts w:ascii="Noto Sans" w:eastAsia="Noto Sans" w:hAnsi="Noto Sans" w:cs="Noto Sans"/>
          <w:b/>
        </w:rPr>
        <w:t xml:space="preserve"> Cuenca del rio Lagartero y rio Las Arenas</w:t>
      </w:r>
    </w:p>
    <w:p w14:paraId="00000006" w14:textId="77777777" w:rsidR="00EE37A3" w:rsidRDefault="00000000">
      <w:pPr>
        <w:spacing w:before="280" w:after="280"/>
        <w:rPr>
          <w:rFonts w:ascii="Noto Sans" w:eastAsia="Noto Sans" w:hAnsi="Noto Sans" w:cs="Noto Sans"/>
          <w:b/>
        </w:rPr>
      </w:pPr>
      <w:r>
        <w:rPr>
          <w:rFonts w:ascii="Noto Sans" w:eastAsia="Noto Sans" w:hAnsi="Noto Sans" w:cs="Noto Sans"/>
        </w:rPr>
        <w:t xml:space="preserve">Fecha del taller: </w:t>
      </w:r>
      <w:r>
        <w:rPr>
          <w:rFonts w:ascii="Noto Sans" w:eastAsia="Noto Sans" w:hAnsi="Noto Sans" w:cs="Noto Sans"/>
          <w:b/>
        </w:rPr>
        <w:t>28 y 29 de mayo de 2025</w:t>
      </w:r>
    </w:p>
    <w:p w14:paraId="00000007" w14:textId="77777777" w:rsidR="00EE37A3" w:rsidRDefault="00000000">
      <w:pPr>
        <w:spacing w:before="280" w:after="280"/>
        <w:rPr>
          <w:rFonts w:ascii="Noto Sans" w:eastAsia="Noto Sans" w:hAnsi="Noto Sans" w:cs="Noto Sans"/>
          <w:b/>
        </w:rPr>
      </w:pPr>
      <w:r>
        <w:rPr>
          <w:rFonts w:ascii="Noto Sans" w:eastAsia="Noto Sans" w:hAnsi="Noto Sans" w:cs="Noto Sans"/>
        </w:rPr>
        <w:t xml:space="preserve">Lugar del taller: </w:t>
      </w:r>
      <w:r>
        <w:rPr>
          <w:rFonts w:ascii="Noto Sans" w:eastAsia="Noto Sans" w:hAnsi="Noto Sans" w:cs="Noto Sans"/>
          <w:b/>
        </w:rPr>
        <w:t>Sede UNICACH Plantel costero, Tonalá, Chiapas</w:t>
      </w:r>
    </w:p>
    <w:p w14:paraId="00000008" w14:textId="77777777" w:rsidR="00EE37A3" w:rsidRDefault="00000000">
      <w:pPr>
        <w:spacing w:before="280" w:after="280"/>
        <w:rPr>
          <w:rFonts w:ascii="Noto Sans" w:eastAsia="Noto Sans" w:hAnsi="Noto Sans" w:cs="Noto Sans"/>
        </w:rPr>
      </w:pPr>
      <w:r>
        <w:rPr>
          <w:rFonts w:ascii="Noto Sans" w:eastAsia="Noto Sans" w:hAnsi="Noto Sans" w:cs="Noto Sans"/>
        </w:rPr>
        <w:t xml:space="preserve">Nombre de personas del equipo de la organización que apoyaron en el desarrollo del taller:  </w:t>
      </w:r>
    </w:p>
    <w:tbl>
      <w:tblPr>
        <w:tblStyle w:val="a"/>
        <w:tblW w:w="8494"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4247"/>
        <w:gridCol w:w="4247"/>
      </w:tblGrid>
      <w:tr w:rsidR="00EE37A3" w14:paraId="4B8A5E05" w14:textId="77777777" w:rsidTr="00EE37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00000009" w14:textId="77777777" w:rsidR="00EE37A3" w:rsidRDefault="00000000">
            <w:pPr>
              <w:rPr>
                <w:rFonts w:ascii="Noto Sans" w:eastAsia="Noto Sans" w:hAnsi="Noto Sans" w:cs="Noto Sans"/>
                <w:b w:val="0"/>
              </w:rPr>
            </w:pPr>
            <w:r>
              <w:rPr>
                <w:rFonts w:ascii="Noto Sans" w:eastAsia="Noto Sans" w:hAnsi="Noto Sans" w:cs="Noto Sans"/>
              </w:rPr>
              <w:t>Nombre</w:t>
            </w:r>
          </w:p>
        </w:tc>
        <w:tc>
          <w:tcPr>
            <w:tcW w:w="4247" w:type="dxa"/>
          </w:tcPr>
          <w:p w14:paraId="0000000A" w14:textId="77777777" w:rsidR="00EE37A3" w:rsidRDefault="00000000">
            <w:pPr>
              <w:cnfStyle w:val="100000000000" w:firstRow="1" w:lastRow="0" w:firstColumn="0" w:lastColumn="0" w:oddVBand="0" w:evenVBand="0" w:oddHBand="0" w:evenHBand="0" w:firstRowFirstColumn="0" w:firstRowLastColumn="0" w:lastRowFirstColumn="0" w:lastRowLastColumn="0"/>
              <w:rPr>
                <w:rFonts w:ascii="Noto Sans" w:eastAsia="Noto Sans" w:hAnsi="Noto Sans" w:cs="Noto Sans"/>
                <w:b w:val="0"/>
              </w:rPr>
            </w:pPr>
            <w:r>
              <w:rPr>
                <w:rFonts w:ascii="Noto Sans" w:eastAsia="Noto Sans" w:hAnsi="Noto Sans" w:cs="Noto Sans"/>
              </w:rPr>
              <w:t xml:space="preserve">Rol </w:t>
            </w:r>
          </w:p>
        </w:tc>
      </w:tr>
      <w:tr w:rsidR="00EE37A3" w14:paraId="1645C175" w14:textId="77777777" w:rsidTr="00EE37A3">
        <w:tc>
          <w:tcPr>
            <w:cnfStyle w:val="001000000000" w:firstRow="0" w:lastRow="0" w:firstColumn="1" w:lastColumn="0" w:oddVBand="0" w:evenVBand="0" w:oddHBand="0" w:evenHBand="0" w:firstRowFirstColumn="0" w:firstRowLastColumn="0" w:lastRowFirstColumn="0" w:lastRowLastColumn="0"/>
            <w:tcW w:w="4247" w:type="dxa"/>
          </w:tcPr>
          <w:p w14:paraId="0000000B" w14:textId="77777777" w:rsidR="00EE37A3" w:rsidRDefault="00000000">
            <w:pPr>
              <w:rPr>
                <w:rFonts w:ascii="Noto Sans" w:eastAsia="Noto Sans" w:hAnsi="Noto Sans" w:cs="Noto Sans"/>
                <w:b w:val="0"/>
              </w:rPr>
            </w:pPr>
            <w:r>
              <w:rPr>
                <w:rFonts w:ascii="Noto Sans" w:eastAsia="Noto Sans" w:hAnsi="Noto Sans" w:cs="Noto Sans"/>
              </w:rPr>
              <w:t>Gregorio Wenceslao Apan Salcedo</w:t>
            </w:r>
          </w:p>
        </w:tc>
        <w:tc>
          <w:tcPr>
            <w:tcW w:w="4247" w:type="dxa"/>
          </w:tcPr>
          <w:p w14:paraId="0000000C" w14:textId="77777777" w:rsidR="00EE37A3" w:rsidRDefault="00000000">
            <w:pPr>
              <w:cnfStyle w:val="000000000000" w:firstRow="0" w:lastRow="0" w:firstColumn="0" w:lastColumn="0" w:oddVBand="0" w:evenVBand="0" w:oddHBand="0" w:evenHBand="0" w:firstRowFirstColumn="0" w:firstRowLastColumn="0" w:lastRowFirstColumn="0" w:lastRowLastColumn="0"/>
              <w:rPr>
                <w:rFonts w:ascii="Noto Sans" w:eastAsia="Noto Sans" w:hAnsi="Noto Sans" w:cs="Noto Sans"/>
              </w:rPr>
            </w:pPr>
            <w:r>
              <w:rPr>
                <w:rFonts w:ascii="Noto Sans" w:eastAsia="Noto Sans" w:hAnsi="Noto Sans" w:cs="Noto Sans"/>
              </w:rPr>
              <w:t>Facilitador principal</w:t>
            </w:r>
          </w:p>
        </w:tc>
      </w:tr>
      <w:tr w:rsidR="00EE37A3" w14:paraId="0D1B5E9A" w14:textId="77777777" w:rsidTr="00EE37A3">
        <w:tc>
          <w:tcPr>
            <w:cnfStyle w:val="001000000000" w:firstRow="0" w:lastRow="0" w:firstColumn="1" w:lastColumn="0" w:oddVBand="0" w:evenVBand="0" w:oddHBand="0" w:evenHBand="0" w:firstRowFirstColumn="0" w:firstRowLastColumn="0" w:lastRowFirstColumn="0" w:lastRowLastColumn="0"/>
            <w:tcW w:w="4247" w:type="dxa"/>
          </w:tcPr>
          <w:p w14:paraId="0000000D" w14:textId="77777777" w:rsidR="00EE37A3" w:rsidRDefault="00000000">
            <w:pPr>
              <w:rPr>
                <w:rFonts w:ascii="Noto Sans" w:eastAsia="Noto Sans" w:hAnsi="Noto Sans" w:cs="Noto Sans"/>
                <w:b w:val="0"/>
              </w:rPr>
            </w:pPr>
            <w:r>
              <w:rPr>
                <w:rFonts w:ascii="Noto Sans" w:eastAsia="Noto Sans" w:hAnsi="Noto Sans" w:cs="Noto Sans"/>
              </w:rPr>
              <w:t>Helen Salazar Arteaga</w:t>
            </w:r>
          </w:p>
        </w:tc>
        <w:tc>
          <w:tcPr>
            <w:tcW w:w="4247" w:type="dxa"/>
          </w:tcPr>
          <w:p w14:paraId="0000000E" w14:textId="77777777" w:rsidR="00EE37A3" w:rsidRDefault="00000000">
            <w:pPr>
              <w:cnfStyle w:val="000000000000" w:firstRow="0" w:lastRow="0" w:firstColumn="0" w:lastColumn="0" w:oddVBand="0" w:evenVBand="0" w:oddHBand="0" w:evenHBand="0" w:firstRowFirstColumn="0" w:firstRowLastColumn="0" w:lastRowFirstColumn="0" w:lastRowLastColumn="0"/>
              <w:rPr>
                <w:rFonts w:ascii="Noto Sans" w:eastAsia="Noto Sans" w:hAnsi="Noto Sans" w:cs="Noto Sans"/>
              </w:rPr>
            </w:pPr>
            <w:r>
              <w:rPr>
                <w:rFonts w:ascii="Noto Sans" w:eastAsia="Noto Sans" w:hAnsi="Noto Sans" w:cs="Noto Sans"/>
              </w:rPr>
              <w:t>Co-Facilitadora y Sistematización</w:t>
            </w:r>
          </w:p>
        </w:tc>
      </w:tr>
      <w:tr w:rsidR="00EE37A3" w14:paraId="6E08FD27" w14:textId="77777777" w:rsidTr="00EE37A3">
        <w:tc>
          <w:tcPr>
            <w:cnfStyle w:val="001000000000" w:firstRow="0" w:lastRow="0" w:firstColumn="1" w:lastColumn="0" w:oddVBand="0" w:evenVBand="0" w:oddHBand="0" w:evenHBand="0" w:firstRowFirstColumn="0" w:firstRowLastColumn="0" w:lastRowFirstColumn="0" w:lastRowLastColumn="0"/>
            <w:tcW w:w="4247" w:type="dxa"/>
          </w:tcPr>
          <w:p w14:paraId="0000000F" w14:textId="77777777" w:rsidR="00EE37A3" w:rsidRDefault="00000000">
            <w:pPr>
              <w:rPr>
                <w:rFonts w:ascii="Noto Sans" w:eastAsia="Noto Sans" w:hAnsi="Noto Sans" w:cs="Noto Sans"/>
                <w:b w:val="0"/>
              </w:rPr>
            </w:pPr>
            <w:r>
              <w:rPr>
                <w:rFonts w:ascii="Noto Sans" w:eastAsia="Noto Sans" w:hAnsi="Noto Sans" w:cs="Noto Sans"/>
              </w:rPr>
              <w:t xml:space="preserve">Adriana González </w:t>
            </w:r>
            <w:proofErr w:type="spellStart"/>
            <w:r>
              <w:rPr>
                <w:rFonts w:ascii="Noto Sans" w:eastAsia="Noto Sans" w:hAnsi="Noto Sans" w:cs="Noto Sans"/>
              </w:rPr>
              <w:t>González</w:t>
            </w:r>
            <w:proofErr w:type="spellEnd"/>
          </w:p>
        </w:tc>
        <w:tc>
          <w:tcPr>
            <w:tcW w:w="4247" w:type="dxa"/>
          </w:tcPr>
          <w:p w14:paraId="00000010" w14:textId="77777777" w:rsidR="00EE37A3" w:rsidRDefault="00000000">
            <w:pPr>
              <w:cnfStyle w:val="000000000000" w:firstRow="0" w:lastRow="0" w:firstColumn="0" w:lastColumn="0" w:oddVBand="0" w:evenVBand="0" w:oddHBand="0" w:evenHBand="0" w:firstRowFirstColumn="0" w:firstRowLastColumn="0" w:lastRowFirstColumn="0" w:lastRowLastColumn="0"/>
              <w:rPr>
                <w:rFonts w:ascii="Noto Sans" w:eastAsia="Noto Sans" w:hAnsi="Noto Sans" w:cs="Noto Sans"/>
              </w:rPr>
            </w:pPr>
            <w:r>
              <w:rPr>
                <w:rFonts w:ascii="Noto Sans" w:eastAsia="Noto Sans" w:hAnsi="Noto Sans" w:cs="Noto Sans"/>
              </w:rPr>
              <w:t>Co-Facilitadora</w:t>
            </w:r>
          </w:p>
        </w:tc>
      </w:tr>
      <w:tr w:rsidR="00EE37A3" w14:paraId="69E4BEBF" w14:textId="77777777" w:rsidTr="00EE37A3">
        <w:tc>
          <w:tcPr>
            <w:cnfStyle w:val="001000000000" w:firstRow="0" w:lastRow="0" w:firstColumn="1" w:lastColumn="0" w:oddVBand="0" w:evenVBand="0" w:oddHBand="0" w:evenHBand="0" w:firstRowFirstColumn="0" w:firstRowLastColumn="0" w:lastRowFirstColumn="0" w:lastRowLastColumn="0"/>
            <w:tcW w:w="4247" w:type="dxa"/>
          </w:tcPr>
          <w:p w14:paraId="00000011" w14:textId="77777777" w:rsidR="00EE37A3" w:rsidRDefault="00000000">
            <w:pPr>
              <w:rPr>
                <w:rFonts w:ascii="Noto Sans" w:eastAsia="Noto Sans" w:hAnsi="Noto Sans" w:cs="Noto Sans"/>
                <w:b w:val="0"/>
              </w:rPr>
            </w:pPr>
            <w:r>
              <w:rPr>
                <w:rFonts w:ascii="Noto Sans" w:eastAsia="Noto Sans" w:hAnsi="Noto Sans" w:cs="Noto Sans"/>
              </w:rPr>
              <w:t>Pedro Hernández Martínez</w:t>
            </w:r>
          </w:p>
        </w:tc>
        <w:tc>
          <w:tcPr>
            <w:tcW w:w="4247" w:type="dxa"/>
          </w:tcPr>
          <w:p w14:paraId="00000012" w14:textId="77777777" w:rsidR="00EE37A3" w:rsidRDefault="00000000">
            <w:pPr>
              <w:cnfStyle w:val="000000000000" w:firstRow="0" w:lastRow="0" w:firstColumn="0" w:lastColumn="0" w:oddVBand="0" w:evenVBand="0" w:oddHBand="0" w:evenHBand="0" w:firstRowFirstColumn="0" w:firstRowLastColumn="0" w:lastRowFirstColumn="0" w:lastRowLastColumn="0"/>
              <w:rPr>
                <w:rFonts w:ascii="Noto Sans" w:eastAsia="Noto Sans" w:hAnsi="Noto Sans" w:cs="Noto Sans"/>
              </w:rPr>
            </w:pPr>
            <w:r>
              <w:rPr>
                <w:rFonts w:ascii="Noto Sans" w:eastAsia="Noto Sans" w:hAnsi="Noto Sans" w:cs="Noto Sans"/>
              </w:rPr>
              <w:t>Co-Facilitador</w:t>
            </w:r>
          </w:p>
        </w:tc>
      </w:tr>
      <w:tr w:rsidR="00EE37A3" w14:paraId="07768FB7" w14:textId="77777777" w:rsidTr="00EE37A3">
        <w:tc>
          <w:tcPr>
            <w:cnfStyle w:val="001000000000" w:firstRow="0" w:lastRow="0" w:firstColumn="1" w:lastColumn="0" w:oddVBand="0" w:evenVBand="0" w:oddHBand="0" w:evenHBand="0" w:firstRowFirstColumn="0" w:firstRowLastColumn="0" w:lastRowFirstColumn="0" w:lastRowLastColumn="0"/>
            <w:tcW w:w="4247" w:type="dxa"/>
          </w:tcPr>
          <w:p w14:paraId="00000013" w14:textId="77777777" w:rsidR="00EE37A3" w:rsidRDefault="00000000">
            <w:pPr>
              <w:rPr>
                <w:rFonts w:ascii="Noto Sans" w:eastAsia="Noto Sans" w:hAnsi="Noto Sans" w:cs="Noto Sans"/>
                <w:b w:val="0"/>
              </w:rPr>
            </w:pPr>
            <w:r>
              <w:rPr>
                <w:rFonts w:ascii="Noto Sans" w:eastAsia="Noto Sans" w:hAnsi="Noto Sans" w:cs="Noto Sans"/>
              </w:rPr>
              <w:t>Héctor Cruz Cervantes</w:t>
            </w:r>
          </w:p>
        </w:tc>
        <w:tc>
          <w:tcPr>
            <w:tcW w:w="4247" w:type="dxa"/>
          </w:tcPr>
          <w:p w14:paraId="00000014" w14:textId="77777777" w:rsidR="00EE37A3" w:rsidRDefault="00000000">
            <w:pPr>
              <w:cnfStyle w:val="000000000000" w:firstRow="0" w:lastRow="0" w:firstColumn="0" w:lastColumn="0" w:oddVBand="0" w:evenVBand="0" w:oddHBand="0" w:evenHBand="0" w:firstRowFirstColumn="0" w:firstRowLastColumn="0" w:lastRowFirstColumn="0" w:lastRowLastColumn="0"/>
              <w:rPr>
                <w:rFonts w:ascii="Noto Sans" w:eastAsia="Noto Sans" w:hAnsi="Noto Sans" w:cs="Noto Sans"/>
              </w:rPr>
            </w:pPr>
            <w:r>
              <w:rPr>
                <w:rFonts w:ascii="Noto Sans" w:eastAsia="Noto Sans" w:hAnsi="Noto Sans" w:cs="Noto Sans"/>
              </w:rPr>
              <w:t>Logística</w:t>
            </w:r>
          </w:p>
        </w:tc>
      </w:tr>
    </w:tbl>
    <w:p w14:paraId="00000015" w14:textId="77777777" w:rsidR="00EE37A3" w:rsidRDefault="00000000">
      <w:pPr>
        <w:spacing w:before="280" w:after="280"/>
        <w:rPr>
          <w:rFonts w:ascii="Noto Sans" w:eastAsia="Noto Sans" w:hAnsi="Noto Sans" w:cs="Noto Sans"/>
        </w:rPr>
      </w:pPr>
      <w:r>
        <w:rPr>
          <w:rFonts w:ascii="Noto Sans" w:eastAsia="Noto Sans" w:hAnsi="Noto Sans" w:cs="Noto Sans"/>
        </w:rPr>
        <w:t xml:space="preserve">Nombre del personal de CATIE que apoyo el taller  </w:t>
      </w:r>
    </w:p>
    <w:tbl>
      <w:tblPr>
        <w:tblStyle w:val="a0"/>
        <w:tblW w:w="8494"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4247"/>
        <w:gridCol w:w="4247"/>
      </w:tblGrid>
      <w:tr w:rsidR="00EE37A3" w14:paraId="6A74094A" w14:textId="77777777" w:rsidTr="00EE37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00000016" w14:textId="77777777" w:rsidR="00EE37A3" w:rsidRDefault="00000000">
            <w:pPr>
              <w:rPr>
                <w:rFonts w:ascii="Noto Sans" w:eastAsia="Noto Sans" w:hAnsi="Noto Sans" w:cs="Noto Sans"/>
                <w:b w:val="0"/>
              </w:rPr>
            </w:pPr>
            <w:r>
              <w:rPr>
                <w:rFonts w:ascii="Noto Sans" w:eastAsia="Noto Sans" w:hAnsi="Noto Sans" w:cs="Noto Sans"/>
              </w:rPr>
              <w:t>Nombre</w:t>
            </w:r>
          </w:p>
        </w:tc>
        <w:tc>
          <w:tcPr>
            <w:tcW w:w="4247" w:type="dxa"/>
          </w:tcPr>
          <w:p w14:paraId="00000017" w14:textId="77777777" w:rsidR="00EE37A3" w:rsidRDefault="00000000">
            <w:pPr>
              <w:cnfStyle w:val="100000000000" w:firstRow="1" w:lastRow="0" w:firstColumn="0" w:lastColumn="0" w:oddVBand="0" w:evenVBand="0" w:oddHBand="0" w:evenHBand="0" w:firstRowFirstColumn="0" w:firstRowLastColumn="0" w:lastRowFirstColumn="0" w:lastRowLastColumn="0"/>
              <w:rPr>
                <w:rFonts w:ascii="Noto Sans" w:eastAsia="Noto Sans" w:hAnsi="Noto Sans" w:cs="Noto Sans"/>
                <w:b w:val="0"/>
              </w:rPr>
            </w:pPr>
            <w:r>
              <w:rPr>
                <w:rFonts w:ascii="Noto Sans" w:eastAsia="Noto Sans" w:hAnsi="Noto Sans" w:cs="Noto Sans"/>
              </w:rPr>
              <w:t xml:space="preserve">Rol </w:t>
            </w:r>
          </w:p>
        </w:tc>
      </w:tr>
      <w:tr w:rsidR="00EE37A3" w14:paraId="0095435D" w14:textId="77777777" w:rsidTr="00EE37A3">
        <w:tc>
          <w:tcPr>
            <w:cnfStyle w:val="001000000000" w:firstRow="0" w:lastRow="0" w:firstColumn="1" w:lastColumn="0" w:oddVBand="0" w:evenVBand="0" w:oddHBand="0" w:evenHBand="0" w:firstRowFirstColumn="0" w:firstRowLastColumn="0" w:lastRowFirstColumn="0" w:lastRowLastColumn="0"/>
            <w:tcW w:w="4247" w:type="dxa"/>
          </w:tcPr>
          <w:p w14:paraId="00000018" w14:textId="77777777" w:rsidR="00EE37A3" w:rsidRDefault="00000000">
            <w:pPr>
              <w:rPr>
                <w:rFonts w:ascii="Noto Sans" w:eastAsia="Noto Sans" w:hAnsi="Noto Sans" w:cs="Noto Sans"/>
                <w:b w:val="0"/>
              </w:rPr>
            </w:pPr>
            <w:r>
              <w:rPr>
                <w:rFonts w:ascii="Noto Sans" w:eastAsia="Noto Sans" w:hAnsi="Noto Sans" w:cs="Noto Sans"/>
              </w:rPr>
              <w:t>Andrea Zamora Trejos</w:t>
            </w:r>
          </w:p>
        </w:tc>
        <w:tc>
          <w:tcPr>
            <w:tcW w:w="4247" w:type="dxa"/>
          </w:tcPr>
          <w:p w14:paraId="00000019" w14:textId="77777777" w:rsidR="00EE37A3" w:rsidRDefault="00000000">
            <w:pPr>
              <w:cnfStyle w:val="000000000000" w:firstRow="0" w:lastRow="0" w:firstColumn="0" w:lastColumn="0" w:oddVBand="0" w:evenVBand="0" w:oddHBand="0" w:evenHBand="0" w:firstRowFirstColumn="0" w:firstRowLastColumn="0" w:lastRowFirstColumn="0" w:lastRowLastColumn="0"/>
              <w:rPr>
                <w:rFonts w:ascii="Noto Sans" w:eastAsia="Noto Sans" w:hAnsi="Noto Sans" w:cs="Noto Sans"/>
              </w:rPr>
            </w:pPr>
            <w:r>
              <w:rPr>
                <w:rFonts w:ascii="Noto Sans" w:eastAsia="Noto Sans" w:hAnsi="Noto Sans" w:cs="Noto Sans"/>
              </w:rPr>
              <w:t>Apoyo en la facilitación</w:t>
            </w:r>
          </w:p>
        </w:tc>
      </w:tr>
    </w:tbl>
    <w:p w14:paraId="6BBB9F6A" w14:textId="77777777" w:rsidR="008B1ED8" w:rsidRDefault="008B1ED8">
      <w:pPr>
        <w:pBdr>
          <w:top w:val="nil"/>
          <w:left w:val="nil"/>
          <w:bottom w:val="nil"/>
          <w:right w:val="nil"/>
          <w:between w:val="nil"/>
        </w:pBdr>
        <w:rPr>
          <w:rFonts w:ascii="Noto Sans" w:eastAsia="Noto Sans" w:hAnsi="Noto Sans" w:cs="Noto Sans"/>
          <w:b/>
          <w:color w:val="000000"/>
        </w:rPr>
      </w:pPr>
    </w:p>
    <w:p w14:paraId="00000054" w14:textId="36F17517" w:rsidR="00EE37A3" w:rsidRDefault="008B1ED8" w:rsidP="008B1ED8">
      <w:pPr>
        <w:pBdr>
          <w:top w:val="nil"/>
          <w:left w:val="nil"/>
          <w:bottom w:val="nil"/>
          <w:right w:val="nil"/>
          <w:between w:val="nil"/>
        </w:pBdr>
        <w:rPr>
          <w:rFonts w:ascii="Noto Sans" w:eastAsia="Noto Sans" w:hAnsi="Noto Sans" w:cs="Noto Sans"/>
          <w:b/>
          <w:color w:val="000000"/>
        </w:rPr>
      </w:pPr>
      <w:r>
        <w:rPr>
          <w:rFonts w:ascii="Noto Sans" w:eastAsia="Noto Sans" w:hAnsi="Noto Sans" w:cs="Noto Sans"/>
          <w:b/>
          <w:color w:val="000000"/>
        </w:rPr>
        <w:t>Relatoría</w:t>
      </w:r>
    </w:p>
    <w:p w14:paraId="76981D45" w14:textId="4C7ABD18" w:rsidR="008B1ED8" w:rsidRDefault="008B1ED8">
      <w:pPr>
        <w:pBdr>
          <w:top w:val="nil"/>
          <w:left w:val="nil"/>
          <w:bottom w:val="nil"/>
          <w:right w:val="nil"/>
          <w:between w:val="nil"/>
        </w:pBdr>
        <w:jc w:val="both"/>
        <w:rPr>
          <w:rFonts w:ascii="Noto Sans" w:eastAsia="Noto Sans" w:hAnsi="Noto Sans" w:cs="Noto Sans"/>
          <w:color w:val="000000"/>
        </w:rPr>
      </w:pPr>
      <w:r w:rsidRPr="008B1ED8">
        <w:rPr>
          <w:rFonts w:ascii="Noto Sans" w:eastAsia="Noto Sans" w:hAnsi="Noto Sans" w:cs="Noto Sans"/>
          <w:color w:val="000000"/>
        </w:rPr>
        <w:t>Comenzamos con una actividad de presentación del equipo facilitador, seguida de la exposición de los objetivos del taller y una breve explicación sobre el origen del proyecto, los problemas que busca atender, su relevancia para el territorio y las metas que se esperan alcanzar. También se presentó una línea de tiempo para aclarar que este taller es apenas el primero de una serie de sesiones que culminarán con la implementación de las Soluciones basadas en la Naturaleza (</w:t>
      </w:r>
      <w:proofErr w:type="spellStart"/>
      <w:r w:rsidRPr="008B1ED8">
        <w:rPr>
          <w:rFonts w:ascii="Noto Sans" w:eastAsia="Noto Sans" w:hAnsi="Noto Sans" w:cs="Noto Sans"/>
          <w:color w:val="000000"/>
        </w:rPr>
        <w:t>SbN</w:t>
      </w:r>
      <w:proofErr w:type="spellEnd"/>
      <w:r w:rsidRPr="008B1ED8">
        <w:rPr>
          <w:rFonts w:ascii="Noto Sans" w:eastAsia="Noto Sans" w:hAnsi="Noto Sans" w:cs="Noto Sans"/>
          <w:color w:val="000000"/>
        </w:rPr>
        <w:t>) en el paisaje. A partir de este encuadre general, se dio inicio al desarrollo de cada una de las herramientas metodológicas planteadas en el manual para este taller.</w:t>
      </w:r>
    </w:p>
    <w:p w14:paraId="739933BF"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55" w14:textId="366F390E" w:rsidR="00EE37A3" w:rsidRDefault="00000000">
      <w:pPr>
        <w:pBdr>
          <w:top w:val="nil"/>
          <w:left w:val="nil"/>
          <w:bottom w:val="nil"/>
          <w:right w:val="nil"/>
          <w:between w:val="nil"/>
        </w:pBdr>
        <w:jc w:val="both"/>
        <w:rPr>
          <w:rFonts w:ascii="Noto Sans" w:eastAsia="Noto Sans" w:hAnsi="Noto Sans" w:cs="Noto Sans"/>
          <w:color w:val="000000"/>
        </w:rPr>
      </w:pPr>
      <w:r w:rsidRPr="008B1ED8">
        <w:rPr>
          <w:rFonts w:ascii="Noto Sans" w:eastAsia="Noto Sans" w:hAnsi="Noto Sans" w:cs="Noto Sans"/>
          <w:b/>
          <w:bCs/>
          <w:color w:val="000000"/>
        </w:rPr>
        <w:t>El ejercicio de la herramienta 3.1</w:t>
      </w:r>
      <w:r>
        <w:rPr>
          <w:rFonts w:ascii="Noto Sans" w:eastAsia="Noto Sans" w:hAnsi="Noto Sans" w:cs="Noto Sans"/>
          <w:color w:val="000000"/>
        </w:rPr>
        <w:t xml:space="preserve"> </w:t>
      </w:r>
      <w:r w:rsidR="008B1ED8">
        <w:rPr>
          <w:rFonts w:ascii="Noto Sans" w:eastAsia="Noto Sans" w:hAnsi="Noto Sans" w:cs="Noto Sans"/>
          <w:color w:val="000000"/>
        </w:rPr>
        <w:t xml:space="preserve">“Lluvia de medios de vida” </w:t>
      </w:r>
      <w:r>
        <w:rPr>
          <w:rFonts w:ascii="Noto Sans" w:eastAsia="Noto Sans" w:hAnsi="Noto Sans" w:cs="Noto Sans"/>
          <w:color w:val="000000"/>
        </w:rPr>
        <w:t xml:space="preserve">permitió identificar una gran diversidad de medios de vida y ecosistemas presentes en el paisaje, reflejando un sistema </w:t>
      </w:r>
      <w:r w:rsidR="008B1ED8">
        <w:rPr>
          <w:rFonts w:ascii="Noto Sans" w:eastAsia="Noto Sans" w:hAnsi="Noto Sans" w:cs="Noto Sans"/>
          <w:color w:val="000000"/>
        </w:rPr>
        <w:t>socio ecológico</w:t>
      </w:r>
      <w:r>
        <w:rPr>
          <w:rFonts w:ascii="Noto Sans" w:eastAsia="Noto Sans" w:hAnsi="Noto Sans" w:cs="Noto Sans"/>
          <w:color w:val="000000"/>
        </w:rPr>
        <w:t xml:space="preserve"> complejo y heterogéneo. Los principales medios de vida señalados por la comunidad incluyen actividades predominantemente comerciales, como la ganadería bovina de </w:t>
      </w:r>
      <w:r>
        <w:rPr>
          <w:rFonts w:ascii="Noto Sans" w:eastAsia="Noto Sans" w:hAnsi="Noto Sans" w:cs="Noto Sans"/>
          <w:color w:val="000000"/>
        </w:rPr>
        <w:lastRenderedPageBreak/>
        <w:t>doble propósito (leche, carne, reproducción), la ganadería menor (pollos y puercos), la agricultura en policultivos (maíz, sorgo, pacas, mangos y pastizales), la explotación forestal de especies maderables, la apicultura para la producción de miel, la pesca de camarón y escama, la acuacultura de tilapia, el turismo —tanto de temporada como ecoturismo—, así como actividades de comercio y prestación de servicios. Además, persisten prácticas de autoconsumo, centradas principalmente en la ganadería bovina para carne, leche y torete, la pesca para consumo familiar y la agricultura de maíz como base alimentaria. Este patrón revela la coexistencia de una economía local diversificada y en transición, que combina estrategias tradicionales de subsistencia con actividades orientadas al mercado, respondiendo tanto a las necesidades de seguridad alimentaria como a las oportunidades económicas emergentes.</w:t>
      </w:r>
    </w:p>
    <w:p w14:paraId="181CB965"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56" w14:textId="77777777"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Por su parte, la comunidad identificó un rico mosaico de ecosistemas que sustenta estos medios de vida y provee servicios ecosistémicos fundamentales. Destacan los ecosistemas costeros y marinos —como el mar abierto, los complejos de manglares (rojo, blanco, negro, </w:t>
      </w:r>
      <w:proofErr w:type="spellStart"/>
      <w:r>
        <w:rPr>
          <w:rFonts w:ascii="Noto Sans" w:eastAsia="Noto Sans" w:hAnsi="Noto Sans" w:cs="Noto Sans"/>
          <w:color w:val="000000"/>
        </w:rPr>
        <w:t>madresal</w:t>
      </w:r>
      <w:proofErr w:type="spellEnd"/>
      <w:r>
        <w:rPr>
          <w:rFonts w:ascii="Noto Sans" w:eastAsia="Noto Sans" w:hAnsi="Noto Sans" w:cs="Noto Sans"/>
          <w:color w:val="000000"/>
        </w:rPr>
        <w:t xml:space="preserve"> y botoncillo), los sistemas lagunares y los ríos caudalosos—, esenciales para la pesca, la acuacultura y la regulación hídrica. En el ámbito terrestre, el paisaje incluye selvas baja caducifolia, subcaducifolia, alta y mediana, matorrales, </w:t>
      </w:r>
      <w:proofErr w:type="spellStart"/>
      <w:r>
        <w:rPr>
          <w:rFonts w:ascii="Noto Sans" w:eastAsia="Noto Sans" w:hAnsi="Noto Sans" w:cs="Noto Sans"/>
          <w:color w:val="000000"/>
        </w:rPr>
        <w:t>zapotonales</w:t>
      </w:r>
      <w:proofErr w:type="spellEnd"/>
      <w:r>
        <w:rPr>
          <w:rFonts w:ascii="Noto Sans" w:eastAsia="Noto Sans" w:hAnsi="Noto Sans" w:cs="Noto Sans"/>
          <w:color w:val="000000"/>
        </w:rPr>
        <w:t>, pastizales naturales y manejados, bosques de pino, palmares de palma real, tunales y áreas de árboles maderables como roble, cedro, guachipilín y mora, los cuales sostienen actividades productivas, protegen la biodiversidad y ofrecen oportunidades para el ecoturismo.</w:t>
      </w:r>
    </w:p>
    <w:p w14:paraId="4412B462"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57" w14:textId="77777777"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Aunque no se profundizó en los cambios recientes, la predominancia de actividades comerciales sugiere una creciente presión sobre los ecosistemas, derivada de la monetización de los recursos naturales, al tiempo que la persistencia de prácticas de autoconsumo muestra la resiliencia de las costumbres locales y su importancia para la seguridad alimentaria. En este contexto, es clave fortalecer las capacidades comunitarias para mantener el equilibrio entre el aprovechamiento económico y la conservación de los ecosistemas, garantizando así la sostenibilidad a largo plazo del territorio y sus servicios ecosistémicos.</w:t>
      </w:r>
    </w:p>
    <w:p w14:paraId="1730436D"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58" w14:textId="77777777"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El ejercicio correspondiente a la </w:t>
      </w:r>
      <w:r w:rsidRPr="008B1ED8">
        <w:rPr>
          <w:rFonts w:ascii="Noto Sans" w:eastAsia="Noto Sans" w:hAnsi="Noto Sans" w:cs="Noto Sans"/>
          <w:b/>
          <w:bCs/>
          <w:color w:val="000000"/>
        </w:rPr>
        <w:t>Herramienta 3.2 – Priorización de medios de vida</w:t>
      </w:r>
      <w:r>
        <w:rPr>
          <w:rFonts w:ascii="Noto Sans" w:eastAsia="Noto Sans" w:hAnsi="Noto Sans" w:cs="Noto Sans"/>
          <w:color w:val="000000"/>
        </w:rPr>
        <w:t xml:space="preserve"> permitió evaluar los principales sistemas productivos identificados previamente, considerando cinco dimensiones clave: seguridad alimentaria, área cultivada, contribución al desarrollo local, producción ambientalmente amigable e inclusión social. Los resultados evidencian cuáles medios de vida tienen mayor relevancia para las comunidades locales, tanto por su aporte </w:t>
      </w:r>
      <w:r>
        <w:rPr>
          <w:rFonts w:ascii="Noto Sans" w:eastAsia="Noto Sans" w:hAnsi="Noto Sans" w:cs="Noto Sans"/>
          <w:color w:val="000000"/>
        </w:rPr>
        <w:lastRenderedPageBreak/>
        <w:t>económico como por su rol en la sostenibilidad social y ambiental del territorio.</w:t>
      </w:r>
    </w:p>
    <w:p w14:paraId="00000059" w14:textId="77777777" w:rsidR="00EE37A3" w:rsidRDefault="00EE37A3">
      <w:pPr>
        <w:pBdr>
          <w:top w:val="nil"/>
          <w:left w:val="nil"/>
          <w:bottom w:val="nil"/>
          <w:right w:val="nil"/>
          <w:between w:val="nil"/>
        </w:pBdr>
        <w:jc w:val="both"/>
        <w:rPr>
          <w:rFonts w:ascii="Noto Sans" w:eastAsia="Noto Sans" w:hAnsi="Noto Sans" w:cs="Noto Sans"/>
        </w:rPr>
      </w:pPr>
    </w:p>
    <w:p w14:paraId="0000005A" w14:textId="77777777"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Entre los medios de vida priorizados, destaca la agricultura comercial (mango ataulfo y </w:t>
      </w:r>
      <w:proofErr w:type="gramStart"/>
      <w:r>
        <w:rPr>
          <w:rFonts w:ascii="Noto Sans" w:eastAsia="Noto Sans" w:hAnsi="Noto Sans" w:cs="Noto Sans"/>
          <w:color w:val="000000"/>
        </w:rPr>
        <w:t>mango manila</w:t>
      </w:r>
      <w:proofErr w:type="gramEnd"/>
      <w:r>
        <w:rPr>
          <w:rFonts w:ascii="Noto Sans" w:eastAsia="Noto Sans" w:hAnsi="Noto Sans" w:cs="Noto Sans"/>
          <w:color w:val="000000"/>
        </w:rPr>
        <w:t>) con la puntuación más alta (12 puntos), debido a su significativa contribución a la seguridad alimentaria familiar, su presencia en áreas cultivadas relevantes del paisaje, su papel en la economía local y su alta inclusión de mujeres, jóvenes y grupos marginados. Le sigue la ganadería de autoconsumo (queso, leche, pollos y puerco) con 11 puntos, reflejando su importancia central en la alimentación familiar, además de que se desarrolla con prácticas relativamente más amigables con el ambiente y es inclusiva en términos sociales.</w:t>
      </w:r>
    </w:p>
    <w:p w14:paraId="0000005B" w14:textId="77777777" w:rsidR="00EE37A3" w:rsidRDefault="00EE37A3">
      <w:pPr>
        <w:pBdr>
          <w:top w:val="nil"/>
          <w:left w:val="nil"/>
          <w:bottom w:val="nil"/>
          <w:right w:val="nil"/>
          <w:between w:val="nil"/>
        </w:pBdr>
        <w:jc w:val="both"/>
        <w:rPr>
          <w:rFonts w:ascii="Noto Sans" w:eastAsia="Noto Sans" w:hAnsi="Noto Sans" w:cs="Noto Sans"/>
        </w:rPr>
      </w:pPr>
    </w:p>
    <w:p w14:paraId="0000005C" w14:textId="77777777"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La acuacultura (tilapia y camarón) ocupa la tercera posición con 10 puntos, destacando por su contribución al desarrollo local, su moderada seguridad alimentaria y su manejo relativamente ambientalmente sostenible. Otros medios de vida con alta puntuación son la ganadería comercial de leche y torete y la pesca comercial y de autoconsumo, ambos con 9 puntos, gracias a su fuerte presencia en la economía local, su aporte a la alimentación y su generación de ingresos para diversos sectores.</w:t>
      </w:r>
    </w:p>
    <w:p w14:paraId="178FA79A"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5D" w14:textId="77777777"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En un nivel intermedio aparecen la ganadería comercial de Bachoco y puercos (8 puntos), la apicultura (6 puntos), el turismo (6 puntos) y la ganadería comercial de torete a media ceba (5 puntos), </w:t>
      </w:r>
      <w:proofErr w:type="gramStart"/>
      <w:r>
        <w:rPr>
          <w:rFonts w:ascii="Noto Sans" w:eastAsia="Noto Sans" w:hAnsi="Noto Sans" w:cs="Noto Sans"/>
          <w:color w:val="000000"/>
        </w:rPr>
        <w:t>que</w:t>
      </w:r>
      <w:proofErr w:type="gramEnd"/>
      <w:r>
        <w:rPr>
          <w:rFonts w:ascii="Noto Sans" w:eastAsia="Noto Sans" w:hAnsi="Noto Sans" w:cs="Noto Sans"/>
          <w:color w:val="000000"/>
        </w:rPr>
        <w:t xml:space="preserve"> aunque relevantes en términos económicos o ambientales, presentan menores niveles de inclusión social o impacto en la seguridad alimentaria. Finalmente, la agricultura de autoconsumo (sorgo y maíz) obtuvo la menor priorización (4 puntos), reflejando su limitada extensión, escaso impacto económico y baja contribución a las dimensiones evaluadas, aunque sigue siendo una práctica tradicional para algunas familias.</w:t>
      </w:r>
    </w:p>
    <w:p w14:paraId="70B528A2"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5E" w14:textId="77777777"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En síntesis, el ejercicio evidencia que las actividades agropecuarias de orientación comercial con potencial inclusivo y ambientalmente sostenible, como la agricultura de mango (cadena de valor en construcción), la ganadería de autoconsumo y comercial de toretes y la acuacultura, son las más relevantes para las comunidades. Estos resultados ofrecen una base para orientar intervenciones que fortalezcan los medios de vida priorizados, promoviendo su sostenibilidad económica, social y ambiental en el territorio.</w:t>
      </w:r>
    </w:p>
    <w:p w14:paraId="0000005F" w14:textId="77777777" w:rsidR="00EE37A3" w:rsidRDefault="00EE37A3">
      <w:pPr>
        <w:pBdr>
          <w:top w:val="nil"/>
          <w:left w:val="nil"/>
          <w:bottom w:val="nil"/>
          <w:right w:val="nil"/>
          <w:between w:val="nil"/>
        </w:pBdr>
        <w:jc w:val="both"/>
        <w:rPr>
          <w:rFonts w:ascii="Noto Sans" w:eastAsia="Noto Sans" w:hAnsi="Noto Sans" w:cs="Noto Sans"/>
        </w:rPr>
      </w:pPr>
    </w:p>
    <w:p w14:paraId="00000060" w14:textId="77777777" w:rsidR="00EE37A3" w:rsidRDefault="00000000">
      <w:pPr>
        <w:pBdr>
          <w:top w:val="nil"/>
          <w:left w:val="nil"/>
          <w:bottom w:val="nil"/>
          <w:right w:val="nil"/>
          <w:between w:val="nil"/>
        </w:pBdr>
        <w:jc w:val="both"/>
        <w:rPr>
          <w:rFonts w:ascii="Noto Sans" w:eastAsia="Noto Sans" w:hAnsi="Noto Sans" w:cs="Noto Sans"/>
          <w:color w:val="000000"/>
        </w:rPr>
      </w:pPr>
      <w:r w:rsidRPr="008B1ED8">
        <w:rPr>
          <w:rFonts w:ascii="Noto Sans" w:eastAsia="Noto Sans" w:hAnsi="Noto Sans" w:cs="Noto Sans"/>
          <w:b/>
          <w:bCs/>
          <w:color w:val="000000"/>
        </w:rPr>
        <w:t>El ejercicio de la Herramienta 3.3 – Caracterización de medios de vida</w:t>
      </w:r>
      <w:r>
        <w:rPr>
          <w:rFonts w:ascii="Noto Sans" w:eastAsia="Noto Sans" w:hAnsi="Noto Sans" w:cs="Noto Sans"/>
          <w:color w:val="000000"/>
        </w:rPr>
        <w:t xml:space="preserve"> permitió un análisis detallado de la estructura, destino, tenencia, integración </w:t>
      </w:r>
      <w:r>
        <w:rPr>
          <w:rFonts w:ascii="Noto Sans" w:eastAsia="Noto Sans" w:hAnsi="Noto Sans" w:cs="Noto Sans"/>
          <w:color w:val="000000"/>
        </w:rPr>
        <w:lastRenderedPageBreak/>
        <w:t>en las cadenas de valor y relevancia económica y social de los principales medios de vida identificados previamente.</w:t>
      </w:r>
    </w:p>
    <w:p w14:paraId="063B6012"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61" w14:textId="77777777"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En el sector pesca y turismo, la pesca de camarón, escama y jaiba es una actividad de alta importancia para las familias, con un uso final mixto (comercial y autoconsumo), desarrollada en áreas abiertas de la laguna bajo un régimen sin propiedad formal. El 100 % de las unidades son pequeñas, con volúmenes de captura entre 0 y 1 tonelada, y su producción se comercializa en mercados locales y regionales, principalmente como producto fresco, enhielado o congelado. La acuacultura de camarón es exclusivamente comercial, con encierros pequeños y destino local o regional. En turismo, cada socio cuenta con terrenos privados para desarrollar actividades comerciales de alimentos y paseos en lancha, con un tamaño mediano (25 socios) y orientación regional.</w:t>
      </w:r>
    </w:p>
    <w:p w14:paraId="00000062" w14:textId="77777777" w:rsidR="00EE37A3" w:rsidRDefault="00EE37A3">
      <w:pPr>
        <w:pBdr>
          <w:top w:val="nil"/>
          <w:left w:val="nil"/>
          <w:bottom w:val="nil"/>
          <w:right w:val="nil"/>
          <w:between w:val="nil"/>
        </w:pBdr>
        <w:jc w:val="both"/>
        <w:rPr>
          <w:rFonts w:ascii="Noto Sans" w:eastAsia="Noto Sans" w:hAnsi="Noto Sans" w:cs="Noto Sans"/>
        </w:rPr>
      </w:pPr>
    </w:p>
    <w:p w14:paraId="00000063" w14:textId="77777777"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En agricultura, la producción comercial de mango sobresale por su integración a cadenas de valor amplias, alcanzando mercados locales, regionales, nacionales e internacionales. Se desarrolla en superficies bajo esquemas de ejido, pequeña propiedad y colonias agrícolas, con unidades de producción pequeñas (5-10 ha, 40 %), medianas (10-50 ha, 40 %) y grandes (≥50 ha, 10 %). Este sistema es eminentemente comercial y altamente competitivo. La agricultura de autoconsumo —centrada en maíz, sorgo, hortalizas y frutales— mantiene su relevancia social para la seguridad alimentaria, con predominio en pequeñas parcelas (1-2 ha, 70 %), menos frecuente en medianas (3-5 ha, 20 %) o grandes (6-10 ha, 10 %), y bajo tenencia ejidal, privada o de colonias agrícolas.</w:t>
      </w:r>
    </w:p>
    <w:p w14:paraId="00000064" w14:textId="77777777" w:rsidR="00EE37A3" w:rsidRDefault="00EE37A3">
      <w:pPr>
        <w:pBdr>
          <w:top w:val="nil"/>
          <w:left w:val="nil"/>
          <w:bottom w:val="nil"/>
          <w:right w:val="nil"/>
          <w:between w:val="nil"/>
        </w:pBdr>
        <w:jc w:val="both"/>
        <w:rPr>
          <w:rFonts w:ascii="Noto Sans" w:eastAsia="Noto Sans" w:hAnsi="Noto Sans" w:cs="Noto Sans"/>
        </w:rPr>
      </w:pPr>
    </w:p>
    <w:p w14:paraId="00000065" w14:textId="77777777"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En ganadería, la producción comercial de leche, queso, carne y torete es significativa para los ingresos familiares, con destino local, regional y nacional. Se practica mayoritariamente en pequeñas unidades (1-15 ha, 60 %), aunque también existen medianas (15-50 ha, 30 %) y grandes (≥50 ha, 10 %), sobre tierras ejidales o de pequeña propiedad. La ganadería de autoconsumo se distribuye sobre todo en unidades pequeñas (1-3 ha, 80 %), y en menor medida medianas o grandes, satisfaciendo necesidades básicas de alimentos. La producción avícola de huevo es predominantemente comercial, desarrollada en pequeñas instalaciones con 10-40 gallinas (80 %), complementada por medianas y grandes en menor proporción. Por último, la ganadería silvopastoril, aunque incipiente, muestra un manejo en unidades pequeñas (1-15 ha, 100 %), con potencial para mejorar la sostenibilidad ambiental del paisaje ganadero.</w:t>
      </w:r>
    </w:p>
    <w:p w14:paraId="00000066" w14:textId="77777777" w:rsidR="00EE37A3" w:rsidRDefault="00EE37A3">
      <w:pPr>
        <w:pBdr>
          <w:top w:val="nil"/>
          <w:left w:val="nil"/>
          <w:bottom w:val="nil"/>
          <w:right w:val="nil"/>
          <w:between w:val="nil"/>
        </w:pBdr>
        <w:jc w:val="both"/>
        <w:rPr>
          <w:rFonts w:ascii="Noto Sans" w:eastAsia="Noto Sans" w:hAnsi="Noto Sans" w:cs="Noto Sans"/>
        </w:rPr>
      </w:pPr>
    </w:p>
    <w:p w14:paraId="00000067" w14:textId="77777777"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lastRenderedPageBreak/>
        <w:t>En cuanto a la tenencia de la tierra, las actividades agropecuarias se desarrollan principalmente en ejidos —propiedad social con decreto y carpeta básica—, pequeñas propiedades —tenencia privada, en lotes de 100 a 200 ha en riego— y colonias agrícolas —asentamientos organizados con servicios básicos y vocación agrícola. En el sector pesquero no existe una tenencia formal, dado que las áreas son comunes y compartidas.</w:t>
      </w:r>
    </w:p>
    <w:p w14:paraId="1330DA2A"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68" w14:textId="77777777"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Finalmente, la vinculación con cadenas de valor muestra una fuerte integración de la agricultura comercial de mango y la ganadería comercial en mercados amplios, mientras que la pesca, la acuacultura y el turismo alcanzan mercados locales y regionales con alta participación comunitaria. Los sistemas de autoconsumo, si bien menos rentables, siguen siendo esenciales para la seguridad alimentaria y la resiliencia de las familias.</w:t>
      </w:r>
    </w:p>
    <w:p w14:paraId="00000069" w14:textId="77777777" w:rsidR="00EE37A3" w:rsidRDefault="00EE37A3">
      <w:pPr>
        <w:pBdr>
          <w:top w:val="nil"/>
          <w:left w:val="nil"/>
          <w:bottom w:val="nil"/>
          <w:right w:val="nil"/>
          <w:between w:val="nil"/>
        </w:pBdr>
        <w:jc w:val="both"/>
        <w:rPr>
          <w:rFonts w:ascii="Noto Sans" w:eastAsia="Noto Sans" w:hAnsi="Noto Sans" w:cs="Noto Sans"/>
        </w:rPr>
      </w:pPr>
    </w:p>
    <w:p w14:paraId="0000006A" w14:textId="77777777"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Este análisis confirma la necesidad de fortalecer los sistemas comerciales para mejorar su competitividad e inclusión social, al tiempo que se protege la función estratégica de los medios de vida tradicionales para la autosuficiencia alimentaria y el manejo sostenible del territorio.</w:t>
      </w:r>
    </w:p>
    <w:p w14:paraId="0000006B" w14:textId="77777777" w:rsidR="00EE37A3" w:rsidRDefault="00EE37A3">
      <w:pPr>
        <w:pBdr>
          <w:top w:val="nil"/>
          <w:left w:val="nil"/>
          <w:bottom w:val="nil"/>
          <w:right w:val="nil"/>
          <w:between w:val="nil"/>
        </w:pBdr>
        <w:jc w:val="both"/>
        <w:rPr>
          <w:rFonts w:ascii="Noto Sans" w:eastAsia="Noto Sans" w:hAnsi="Noto Sans" w:cs="Noto Sans"/>
          <w:color w:val="000000"/>
        </w:rPr>
      </w:pPr>
    </w:p>
    <w:p w14:paraId="0000006C" w14:textId="77777777"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El análisis de la </w:t>
      </w:r>
      <w:r w:rsidRPr="00F036C9">
        <w:rPr>
          <w:rFonts w:ascii="Noto Sans" w:eastAsia="Noto Sans" w:hAnsi="Noto Sans" w:cs="Noto Sans"/>
          <w:b/>
          <w:bCs/>
          <w:color w:val="000000"/>
        </w:rPr>
        <w:t>Herramienta 3.4 – Caracterización de ecosistemas</w:t>
      </w:r>
      <w:r>
        <w:rPr>
          <w:rFonts w:ascii="Noto Sans" w:eastAsia="Noto Sans" w:hAnsi="Noto Sans" w:cs="Noto Sans"/>
          <w:color w:val="000000"/>
        </w:rPr>
        <w:t xml:space="preserve"> permitió identificar y evaluar la funcionalidad de los principales ecosistemas presentes en el paisaje, destacando su importancia en la provisión de servicios ecosistémicos esenciales para sostener los medios de vida y el bienestar de las comunidades. En general, los ecosistemas costeros, como el sistema lagunar y los manglares, se encuentran en mejor estado funcional, mientras que las áreas agrícolas y ganaderas muestran mayores niveles de degradación.</w:t>
      </w:r>
    </w:p>
    <w:p w14:paraId="0A30380F"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6D" w14:textId="542E2AE3"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El sistema lagunar (SL) es un ecosistema clave para actividades como la pesca de camarón y escama, la acuacultura de camarón y el turismo. Su funcionalidad actual se considera adecuada, ya que provee una amplia gama de servicios: alimentos, materias primas, regulación climática, moderación de desastres, aprovisionamiento de agua y valores culturales, recreativos y espirituales. Sin embargo, enfrenta presiones significativas derivadas del azolvamiento por corrientes fluviales intensas y explotación pétrea, así como por contaminación y deforestación de su entorno ribereño.</w:t>
      </w:r>
    </w:p>
    <w:p w14:paraId="0000006E" w14:textId="77777777" w:rsidR="00EE37A3" w:rsidRDefault="00EE37A3">
      <w:pPr>
        <w:pBdr>
          <w:top w:val="nil"/>
          <w:left w:val="nil"/>
          <w:bottom w:val="nil"/>
          <w:right w:val="nil"/>
          <w:between w:val="nil"/>
        </w:pBdr>
        <w:jc w:val="both"/>
        <w:rPr>
          <w:rFonts w:ascii="Noto Sans" w:eastAsia="Noto Sans" w:hAnsi="Noto Sans" w:cs="Noto Sans"/>
        </w:rPr>
      </w:pPr>
    </w:p>
    <w:p w14:paraId="0000006F" w14:textId="77777777"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El manglar (M) también mantiene una funcionalidad adecuada, sosteniendo los mismos medios de vida y aportando servicios adicionales como regulación de la calidad del aire y provisión de recursos medicinales. Las amenazas más importantes sobre este ecosistema incluyen el calentamiento global, el aumento de la salinidad por alteraciones en los </w:t>
      </w:r>
      <w:r>
        <w:rPr>
          <w:rFonts w:ascii="Noto Sans" w:eastAsia="Noto Sans" w:hAnsi="Noto Sans" w:cs="Noto Sans"/>
          <w:color w:val="000000"/>
        </w:rPr>
        <w:lastRenderedPageBreak/>
        <w:t>patrones de lluvias y caudales fluviales, así como la disminución de la vegetación ribereña.</w:t>
      </w:r>
    </w:p>
    <w:p w14:paraId="00000070" w14:textId="77777777" w:rsidR="00EE37A3" w:rsidRDefault="00EE37A3">
      <w:pPr>
        <w:pBdr>
          <w:top w:val="nil"/>
          <w:left w:val="nil"/>
          <w:bottom w:val="nil"/>
          <w:right w:val="nil"/>
          <w:between w:val="nil"/>
        </w:pBdr>
        <w:jc w:val="both"/>
        <w:rPr>
          <w:rFonts w:ascii="Noto Sans" w:eastAsia="Noto Sans" w:hAnsi="Noto Sans" w:cs="Noto Sans"/>
        </w:rPr>
      </w:pPr>
    </w:p>
    <w:p w14:paraId="00000071" w14:textId="77777777"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Las zonas agrícolas (ZA) y los pastizales inducidos cultivados (PI), por su parte, presentan una funcionalidad reducida debido al impacto de prácticas como tala, incendios forestales, sobrepastoreo, uso de agroquímicos, sequías, monocultivos y huracanes. Aunque aún proveen alimentos y materias primas, su capacidad para mantener la biodiversidad y regular el clima se ha visto comprometida.</w:t>
      </w:r>
    </w:p>
    <w:p w14:paraId="00000072" w14:textId="77777777" w:rsidR="00EE37A3" w:rsidRDefault="00EE37A3">
      <w:pPr>
        <w:pBdr>
          <w:top w:val="nil"/>
          <w:left w:val="nil"/>
          <w:bottom w:val="nil"/>
          <w:right w:val="nil"/>
          <w:between w:val="nil"/>
        </w:pBdr>
        <w:jc w:val="both"/>
        <w:rPr>
          <w:rFonts w:ascii="Noto Sans" w:eastAsia="Noto Sans" w:hAnsi="Noto Sans" w:cs="Noto Sans"/>
        </w:rPr>
      </w:pPr>
    </w:p>
    <w:p w14:paraId="00000073" w14:textId="77777777"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Las vegetaciones secundarias de selva baja y mediana (VSSB y VSSM) conservan una funcionalidad moderada a adecuada, respectivamente, sosteniendo medios de vida relacionados con la agricultura, la ganadería y la ganadería silvopastoril. Estos ecosistemas siguen brindando servicios de provisión, regulación y valores culturales y espirituales, aunque la presión por deforestación, incendios, ganadería extensiva y asentamientos humanos amenaza su resiliencia.</w:t>
      </w:r>
    </w:p>
    <w:p w14:paraId="00000074" w14:textId="77777777" w:rsidR="00EE37A3" w:rsidRDefault="00EE37A3">
      <w:pPr>
        <w:pBdr>
          <w:top w:val="nil"/>
          <w:left w:val="nil"/>
          <w:bottom w:val="nil"/>
          <w:right w:val="nil"/>
          <w:between w:val="nil"/>
        </w:pBdr>
        <w:jc w:val="both"/>
        <w:rPr>
          <w:rFonts w:ascii="Noto Sans" w:eastAsia="Noto Sans" w:hAnsi="Noto Sans" w:cs="Noto Sans"/>
        </w:rPr>
      </w:pPr>
    </w:p>
    <w:p w14:paraId="00000075" w14:textId="77777777"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Finalmente, los palmares (PAL) son uno de los ecosistemas más degradados, con funcionalidad reducida y limitados a brindar servicios como la regulación de carbono y ciertos valores culturales, afectados principalmente por deforestación y quema.</w:t>
      </w:r>
    </w:p>
    <w:p w14:paraId="00000076" w14:textId="77777777" w:rsidR="00EE37A3" w:rsidRDefault="00EE37A3">
      <w:pPr>
        <w:pBdr>
          <w:top w:val="nil"/>
          <w:left w:val="nil"/>
          <w:bottom w:val="nil"/>
          <w:right w:val="nil"/>
          <w:between w:val="nil"/>
        </w:pBdr>
        <w:jc w:val="both"/>
        <w:rPr>
          <w:rFonts w:ascii="Noto Sans" w:eastAsia="Noto Sans" w:hAnsi="Noto Sans" w:cs="Noto Sans"/>
        </w:rPr>
      </w:pPr>
    </w:p>
    <w:p w14:paraId="00000077" w14:textId="77777777"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En resumen, los ecosistemas costeros resultan los más funcionales y fundamentales para sostener los medios de vida y la sostenibilidad del paisaje. En contraste, las áreas agrícolas y ganaderas requieren medidas urgentes de manejo sostenible y restauración para recuperar su funcionalidad y asegurar la continuidad de los servicios ecosistémicos de los que depende la población. Este análisis evidencia la necesidad de estrategias integrales de conservación, uso sostenible y restauración que permitan equilibrar las demandas económicas con la salud ecológica del territorio.</w:t>
      </w:r>
    </w:p>
    <w:p w14:paraId="00000078" w14:textId="77777777" w:rsidR="00EE37A3" w:rsidRDefault="00EE37A3">
      <w:pPr>
        <w:pBdr>
          <w:top w:val="nil"/>
          <w:left w:val="nil"/>
          <w:bottom w:val="nil"/>
          <w:right w:val="nil"/>
          <w:between w:val="nil"/>
        </w:pBdr>
        <w:jc w:val="both"/>
        <w:rPr>
          <w:rFonts w:ascii="Noto Sans" w:eastAsia="Noto Sans" w:hAnsi="Noto Sans" w:cs="Noto Sans"/>
        </w:rPr>
      </w:pPr>
    </w:p>
    <w:p w14:paraId="00000079" w14:textId="77777777"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El análisis de la </w:t>
      </w:r>
      <w:r w:rsidRPr="00F036C9">
        <w:rPr>
          <w:rFonts w:ascii="Noto Sans" w:eastAsia="Noto Sans" w:hAnsi="Noto Sans" w:cs="Noto Sans"/>
          <w:b/>
          <w:bCs/>
          <w:color w:val="000000"/>
        </w:rPr>
        <w:t>Herramienta 3.5 – Caracterización de servicios ecosistémicos</w:t>
      </w:r>
      <w:r>
        <w:rPr>
          <w:rFonts w:ascii="Noto Sans" w:eastAsia="Noto Sans" w:hAnsi="Noto Sans" w:cs="Noto Sans"/>
          <w:color w:val="000000"/>
        </w:rPr>
        <w:t xml:space="preserve"> y su relación con los medios de vida permitió identificar los principales servicios ecosistémicos del paisaje, su vínculo con las actividades productivas, su estado actual de provisión, flujo y demanda, así como las condiciones que afectan su acceso y uso.</w:t>
      </w:r>
    </w:p>
    <w:p w14:paraId="0000007A" w14:textId="77777777" w:rsidR="00EE37A3" w:rsidRDefault="00EE37A3">
      <w:pPr>
        <w:pBdr>
          <w:top w:val="nil"/>
          <w:left w:val="nil"/>
          <w:bottom w:val="nil"/>
          <w:right w:val="nil"/>
          <w:between w:val="nil"/>
        </w:pBdr>
        <w:jc w:val="both"/>
        <w:rPr>
          <w:rFonts w:ascii="Noto Sans" w:eastAsia="Noto Sans" w:hAnsi="Noto Sans" w:cs="Noto Sans"/>
        </w:rPr>
      </w:pPr>
    </w:p>
    <w:p w14:paraId="0000007B" w14:textId="77777777"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Los servicios ecosistémicos más relevantes identificados son: alimentos y hábitat acuático, agua para consumo y riego, leña y materias primas vegetales, fertilidad del suelo, producción de materia orgánica, calidad de pasturas y valores culturales y recreativos asociados al paisaje. Estos </w:t>
      </w:r>
      <w:r>
        <w:rPr>
          <w:rFonts w:ascii="Noto Sans" w:eastAsia="Noto Sans" w:hAnsi="Noto Sans" w:cs="Noto Sans"/>
          <w:color w:val="000000"/>
        </w:rPr>
        <w:lastRenderedPageBreak/>
        <w:t>servicios sustentan directamente medios de vida clave como la pesca, acuacultura, turismo, agricultura y ganadería, beneficiando de manera transversal a toda la población sin distinción de género ni grupo social.</w:t>
      </w:r>
    </w:p>
    <w:p w14:paraId="0ADA9F76"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48E8018" w14:textId="77777777" w:rsidR="008B1ED8"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En los ecosistemas costeros, como el sistema lagunar (</w:t>
      </w:r>
      <w:r>
        <w:rPr>
          <w:rFonts w:ascii="Noto Sans" w:eastAsia="Noto Sans" w:hAnsi="Noto Sans" w:cs="Noto Sans"/>
          <w:i/>
          <w:color w:val="000000"/>
        </w:rPr>
        <w:t>SLP1</w:t>
      </w:r>
      <w:r>
        <w:rPr>
          <w:rFonts w:ascii="Noto Sans" w:eastAsia="Noto Sans" w:hAnsi="Noto Sans" w:cs="Noto Sans"/>
          <w:color w:val="000000"/>
        </w:rPr>
        <w:t xml:space="preserve">, </w:t>
      </w:r>
      <w:r>
        <w:rPr>
          <w:rFonts w:ascii="Noto Sans" w:eastAsia="Noto Sans" w:hAnsi="Noto Sans" w:cs="Noto Sans"/>
          <w:i/>
          <w:color w:val="000000"/>
        </w:rPr>
        <w:t>SLR2</w:t>
      </w:r>
      <w:r>
        <w:rPr>
          <w:rFonts w:ascii="Noto Sans" w:eastAsia="Noto Sans" w:hAnsi="Noto Sans" w:cs="Noto Sans"/>
          <w:color w:val="000000"/>
        </w:rPr>
        <w:t xml:space="preserve">, </w:t>
      </w:r>
      <w:r>
        <w:rPr>
          <w:rFonts w:ascii="Noto Sans" w:eastAsia="Noto Sans" w:hAnsi="Noto Sans" w:cs="Noto Sans"/>
          <w:i/>
          <w:color w:val="000000"/>
        </w:rPr>
        <w:t>SLC2</w:t>
      </w:r>
      <w:r>
        <w:rPr>
          <w:rFonts w:ascii="Noto Sans" w:eastAsia="Noto Sans" w:hAnsi="Noto Sans" w:cs="Noto Sans"/>
          <w:color w:val="000000"/>
        </w:rPr>
        <w:t>) y los manglares (</w:t>
      </w:r>
      <w:r>
        <w:rPr>
          <w:rFonts w:ascii="Noto Sans" w:eastAsia="Noto Sans" w:hAnsi="Noto Sans" w:cs="Noto Sans"/>
          <w:i/>
          <w:color w:val="000000"/>
        </w:rPr>
        <w:t>MR2</w:t>
      </w:r>
      <w:r>
        <w:rPr>
          <w:rFonts w:ascii="Noto Sans" w:eastAsia="Noto Sans" w:hAnsi="Noto Sans" w:cs="Noto Sans"/>
          <w:color w:val="000000"/>
        </w:rPr>
        <w:t xml:space="preserve">), el servicio de alimentos (camarón, escama, jaiba) y hábitat para especies acuáticas es esencial para la pesca, acuacultura y turismo. Sin embargo, su provisión está disminuyendo debido a la sobreexplotación, azolvamiento, contaminación y reducción de la cobertura vegetal ribereña. </w:t>
      </w:r>
    </w:p>
    <w:p w14:paraId="24962F9B"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7C" w14:textId="69D4D256"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El flujo del servicio también se ha vuelto complicado por la presión sobre los recursos, mientras que la demanda continúa aumentando por mayor esfuerzo pesquero y la mejora de accesos para turistas.</w:t>
      </w:r>
    </w:p>
    <w:p w14:paraId="7AA7724C"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7D" w14:textId="30AD1265"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En el ámbito agrícola y ganadero, servicios como el agua para consumo humano, riego y ganado (</w:t>
      </w:r>
      <w:r>
        <w:rPr>
          <w:rFonts w:ascii="Noto Sans" w:eastAsia="Noto Sans" w:hAnsi="Noto Sans" w:cs="Noto Sans"/>
          <w:i/>
          <w:color w:val="000000"/>
        </w:rPr>
        <w:t>VSSBP3</w:t>
      </w:r>
      <w:r>
        <w:rPr>
          <w:rFonts w:ascii="Noto Sans" w:eastAsia="Noto Sans" w:hAnsi="Noto Sans" w:cs="Noto Sans"/>
          <w:color w:val="000000"/>
        </w:rPr>
        <w:t xml:space="preserve">, </w:t>
      </w:r>
      <w:r>
        <w:rPr>
          <w:rFonts w:ascii="Noto Sans" w:eastAsia="Noto Sans" w:hAnsi="Noto Sans" w:cs="Noto Sans"/>
          <w:i/>
          <w:color w:val="000000"/>
        </w:rPr>
        <w:t>VSSMP3</w:t>
      </w:r>
      <w:r>
        <w:rPr>
          <w:rFonts w:ascii="Noto Sans" w:eastAsia="Noto Sans" w:hAnsi="Noto Sans" w:cs="Noto Sans"/>
          <w:color w:val="000000"/>
        </w:rPr>
        <w:t xml:space="preserve">, </w:t>
      </w:r>
      <w:r>
        <w:rPr>
          <w:rFonts w:ascii="Noto Sans" w:eastAsia="Noto Sans" w:hAnsi="Noto Sans" w:cs="Noto Sans"/>
          <w:i/>
          <w:color w:val="000000"/>
        </w:rPr>
        <w:t>SLP3</w:t>
      </w:r>
      <w:r>
        <w:rPr>
          <w:rFonts w:ascii="Noto Sans" w:eastAsia="Noto Sans" w:hAnsi="Noto Sans" w:cs="Noto Sans"/>
          <w:color w:val="000000"/>
        </w:rPr>
        <w:t>) son fundamentales, pero presentan una provisión disminuida y un flujo complicado debido a la deforestación, cambio climático, incendios y sobreuso. La demanda de agua continúa aumentando con el crecimiento poblacional y productivo. Asimismo, la leña y las materias primas vegetales (</w:t>
      </w:r>
      <w:r>
        <w:rPr>
          <w:rFonts w:ascii="Noto Sans" w:eastAsia="Noto Sans" w:hAnsi="Noto Sans" w:cs="Noto Sans"/>
          <w:i/>
          <w:color w:val="000000"/>
        </w:rPr>
        <w:t>VSSMP2</w:t>
      </w:r>
      <w:r>
        <w:rPr>
          <w:rFonts w:ascii="Noto Sans" w:eastAsia="Noto Sans" w:hAnsi="Noto Sans" w:cs="Noto Sans"/>
          <w:color w:val="000000"/>
        </w:rPr>
        <w:t>) siguen siendo recursos importantes, aunque con provisión reducida y un acceso cada vez más complicado.</w:t>
      </w:r>
    </w:p>
    <w:p w14:paraId="0AE3E72E"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7E" w14:textId="04D8C400"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Para la ganadería, los servicios ecosistémicos relacionados con la fertilidad del suelo (</w:t>
      </w:r>
      <w:r>
        <w:rPr>
          <w:rFonts w:ascii="Noto Sans" w:eastAsia="Noto Sans" w:hAnsi="Noto Sans" w:cs="Noto Sans"/>
          <w:i/>
          <w:color w:val="000000"/>
        </w:rPr>
        <w:t>PIR5</w:t>
      </w:r>
      <w:r>
        <w:rPr>
          <w:rFonts w:ascii="Noto Sans" w:eastAsia="Noto Sans" w:hAnsi="Noto Sans" w:cs="Noto Sans"/>
          <w:color w:val="000000"/>
        </w:rPr>
        <w:t>), la calidad y digestibilidad de las pasturas (</w:t>
      </w:r>
      <w:r>
        <w:rPr>
          <w:rFonts w:ascii="Noto Sans" w:eastAsia="Noto Sans" w:hAnsi="Noto Sans" w:cs="Noto Sans"/>
          <w:i/>
          <w:color w:val="000000"/>
        </w:rPr>
        <w:t>PIR2</w:t>
      </w:r>
      <w:r>
        <w:rPr>
          <w:rFonts w:ascii="Noto Sans" w:eastAsia="Noto Sans" w:hAnsi="Noto Sans" w:cs="Noto Sans"/>
          <w:color w:val="000000"/>
        </w:rPr>
        <w:t>) y la producción de materia orgánica (</w:t>
      </w:r>
      <w:r>
        <w:rPr>
          <w:rFonts w:ascii="Noto Sans" w:eastAsia="Noto Sans" w:hAnsi="Noto Sans" w:cs="Noto Sans"/>
          <w:i/>
          <w:color w:val="000000"/>
        </w:rPr>
        <w:t>VSSMR5</w:t>
      </w:r>
      <w:r>
        <w:rPr>
          <w:rFonts w:ascii="Noto Sans" w:eastAsia="Noto Sans" w:hAnsi="Noto Sans" w:cs="Noto Sans"/>
          <w:color w:val="000000"/>
        </w:rPr>
        <w:t>) son clave. Estos servicios muestran un estado comprometido, con provisión y flujo cada vez más complicados por factores como el cambio en el régimen de lluvias, uso de agroquímicos, sobrepastoreo y resistencia al cambio de variedades forrajeras. La demanda en algunos casos se mantiene estable y en otros aumenta, reflejando la creciente necesidad de mejorar los suelos y las praderas para mantener la productividad ganadera.</w:t>
      </w:r>
    </w:p>
    <w:p w14:paraId="0196B61B"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7F" w14:textId="64288582"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Finalmente, los valores culturales, recreativos y estéticos del paisaje (</w:t>
      </w:r>
      <w:r>
        <w:rPr>
          <w:rFonts w:ascii="Noto Sans" w:eastAsia="Noto Sans" w:hAnsi="Noto Sans" w:cs="Noto Sans"/>
          <w:i/>
          <w:color w:val="000000"/>
        </w:rPr>
        <w:t>SLC2</w:t>
      </w:r>
      <w:r>
        <w:rPr>
          <w:rFonts w:ascii="Noto Sans" w:eastAsia="Noto Sans" w:hAnsi="Noto Sans" w:cs="Noto Sans"/>
          <w:color w:val="000000"/>
        </w:rPr>
        <w:t>) también se mantienen como un servicio ecosistémico importante, directamente vinculado al turismo. La provisión de estos valores se conserva en buen estado, aunque con retos asociados a la basura y la presión de la creciente demanda turística.</w:t>
      </w:r>
    </w:p>
    <w:p w14:paraId="384301D3"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80" w14:textId="0DD4D02D"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El aprendizaje para esta herramienta es que, los servicios ecosistémicos del paisaje siguen siendo esenciales para el sustento económico, social y cultural de las comunidades. Sin embargo, la mayoría presentan signos de </w:t>
      </w:r>
      <w:r>
        <w:rPr>
          <w:rFonts w:ascii="Noto Sans" w:eastAsia="Noto Sans" w:hAnsi="Noto Sans" w:cs="Noto Sans"/>
          <w:color w:val="000000"/>
        </w:rPr>
        <w:lastRenderedPageBreak/>
        <w:t>deterioro en su provisión y flujo debido a factores antrópicos y climáticos, mientras que la demanda tiende a aumentar. Este panorama subraya la necesidad urgente de estrategias de manejo sostenible, restauración ecológica y regulación del uso para mantener la capacidad del paisaje de sostener los medios de vida y la calidad de vida de la población.</w:t>
      </w:r>
      <w:r>
        <w:rPr>
          <w:rFonts w:ascii="Noto Sans" w:eastAsia="Noto Sans" w:hAnsi="Noto Sans" w:cs="Noto Sans"/>
          <w:color w:val="000000"/>
        </w:rPr>
        <w:br/>
      </w:r>
      <w:r>
        <w:rPr>
          <w:rFonts w:ascii="Noto Sans" w:eastAsia="Noto Sans" w:hAnsi="Noto Sans" w:cs="Noto Sans"/>
          <w:color w:val="000000"/>
        </w:rPr>
        <w:br/>
        <w:t xml:space="preserve">El ejercicio de </w:t>
      </w:r>
      <w:r w:rsidRPr="008B1ED8">
        <w:rPr>
          <w:rFonts w:ascii="Noto Sans" w:eastAsia="Noto Sans" w:hAnsi="Noto Sans" w:cs="Noto Sans"/>
          <w:b/>
          <w:bCs/>
          <w:color w:val="000000"/>
        </w:rPr>
        <w:t xml:space="preserve">la Herramienta 4.1 – Identificación de amenazas climáticas y no-climáticas </w:t>
      </w:r>
      <w:r>
        <w:rPr>
          <w:rFonts w:ascii="Noto Sans" w:eastAsia="Noto Sans" w:hAnsi="Noto Sans" w:cs="Noto Sans"/>
          <w:color w:val="000000"/>
        </w:rPr>
        <w:t>en el paisaje permitió reconocer las principales amenazas que afectan a los medios de vida y servicios ecosistémicos en el territorio, así como su magnitud percibida, frecuencia y tendencia. Los resultados reflejan un escenario de alta vulnerabilidad, en el que interactúan fenómenos climáticos extremos y presiones antrópicas persistentes, comprometiendo la sostenibilidad del paisaje.</w:t>
      </w:r>
    </w:p>
    <w:p w14:paraId="77EFFEA6"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81" w14:textId="7DA9D8D2"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Entre las amenazas climáticas, destacan la sequía, con una magnitud alta y frecuencia sostenida que afecta por igual a la pesca, agricultura y ganadería, agravada por los cambios en los patrones de lluvia, la ocurrencia de olas de calor y la falta generalizada de lluvias. Los huracanes, las lluvias intensas, las inundaciones y el aumento del nivel del mar, si bien menos frecuentes, causan daños significativos cuando ocurren, principalmente en las zonas bajas y costeras. Estas amenazas climáticas ya presentan tendencia creciente, con impactos severos sobre la producción, el hábitat natural y las infraestructuras locales.</w:t>
      </w:r>
    </w:p>
    <w:p w14:paraId="73C39336"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82" w14:textId="4D092B01"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Por su parte, las amenazas no climáticas presentan igual o incluso mayor peso en la vulnerabilidad del paisaje. La contaminación —del agua, suelos y cuerpos hídricos, por residuos sólidos y agroquímicos— figura como una de las amenazas más graves y recurrentes, afectando especialmente la pesca, los ecosistemas acuáticos y la salud comunitaria. La erosión y sedimentación por azolvamiento en lagunas y desembocaduras impactan directamente los servicios de hábitat y alimentación para la pesca y acuacultura. En el sector agrícola y ganadero, la erosión hídrica y eólica, junto con el cambio de uso de suelo, la tala, las quemas, la cacería, las plagas y la pérdida de fertilidad por falta de prácticas sostenibles deterioran gravemente la capacidad productiva.</w:t>
      </w:r>
    </w:p>
    <w:p w14:paraId="06BFC259"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83" w14:textId="30F37442"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También se identificaron factores sociales y de gobernanza como amenazas relevantes: el crecimiento poblacional desordenado, la falta de conciencia ambiental, la escasa transmisión de conocimientos tradicionales, la débil aplicación del marco legal y la ausencia de políticas públicas efectivas para mitigar la degradación ambiental. Estas limitaciones institucionales </w:t>
      </w:r>
      <w:r>
        <w:rPr>
          <w:rFonts w:ascii="Noto Sans" w:eastAsia="Noto Sans" w:hAnsi="Noto Sans" w:cs="Noto Sans"/>
          <w:color w:val="000000"/>
        </w:rPr>
        <w:lastRenderedPageBreak/>
        <w:t>aumentan la exposición y reducen la capacidad de adaptación de las comunidades frente a las amenazas naturales y antrópicas.</w:t>
      </w:r>
    </w:p>
    <w:p w14:paraId="709D6CE4"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84" w14:textId="058F96EB"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En términos generales, muchas de las amenazas identificadas muestran una tendencia creciente o sostenida en el tiempo, y afectan a la totalidad o grandes extensiones del paisaje, requiriendo medidas coordinadas entre comunidades, actores locales y externos para reducir su impacto. La suma de estas presiones, tanto climáticas como no climáticas, evidencia la necesidad urgente de diseñar estrategias de adaptación y manejo sostenible que permitan disminuir los riesgos y mejorar la resiliencia de los medios de vida y servicios ecosistémicos en el territorio.</w:t>
      </w:r>
    </w:p>
    <w:p w14:paraId="31956A5A"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85" w14:textId="62675785"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El análisis de la </w:t>
      </w:r>
      <w:r w:rsidRPr="008B1ED8">
        <w:rPr>
          <w:rFonts w:ascii="Noto Sans" w:eastAsia="Noto Sans" w:hAnsi="Noto Sans" w:cs="Noto Sans"/>
          <w:b/>
          <w:bCs/>
          <w:color w:val="000000"/>
        </w:rPr>
        <w:t>Herramienta 4.2 – Caracterización de amenazas climáticas y no-climáticas</w:t>
      </w:r>
      <w:r>
        <w:rPr>
          <w:rFonts w:ascii="Noto Sans" w:eastAsia="Noto Sans" w:hAnsi="Noto Sans" w:cs="Noto Sans"/>
          <w:color w:val="000000"/>
        </w:rPr>
        <w:t xml:space="preserve"> e identificación de conflictos permitió profundizar en cómo las amenazas priorizadas impactan los medios de vida y servicios ecosistémicos del paisaje, evaluando sus efectos sobre distintas dimensiones de la seguridad de las comunidades, los grupos sociales más afectados y los conflictos derivados.</w:t>
      </w:r>
    </w:p>
    <w:p w14:paraId="2B93A4C9"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86" w14:textId="4C1DBACA"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Las principales amenazas climáticas identificadas fueron la sequía, las olas de calor, las lluvias intensas, la falta de lluvias y las inundaciones, mientras que entre las no-climáticas destacan la erosión y sedimentación (azolvamiento), la contaminación de agua y suelos, el cambio de uso del suelo y las quemas. Estas amenazas afectan directamente medios de vida clave como la pesca, acuacultura, turismo, agricultura y ganadería.</w:t>
      </w:r>
    </w:p>
    <w:p w14:paraId="6B801DC6"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87" w14:textId="5A257ED8"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En términos de impacto en la seguridad, las amenazas climáticas como la sequía y la falta de lluvias generan pérdidas prolongadas de ingresos y empleo, reducen la disponibilidad de alimentos y agua, afectan la salud por mayor exposición a calor y contaminación, deterioran los servicios ecosistémicos y aumentan la percepción de inseguridad comunitaria. Las quemas y la contaminación también provocan deterioro ambiental severo y desintegración social, con altos costos económicos y sociales. En general, estos impactos tienden a ser mayores para mujeres, jóvenes y grupos marginados, quienes enfrentan más barreras para recuperarse.</w:t>
      </w:r>
    </w:p>
    <w:p w14:paraId="6F8A4621"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88" w14:textId="2D03380E"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La evaluación mostró que la sequía, las olas de calor, la contaminación y las quemas tienen impactos graves en la seguridad económica, alimentaria, ambiental y comunitaria, mientras que las lluvias intensas y la erosión generan impactos moderados. Entre los grupos afectados, los hombres tienden a combatir los incendios y asegurar la producción, mientras que las </w:t>
      </w:r>
      <w:r>
        <w:rPr>
          <w:rFonts w:ascii="Noto Sans" w:eastAsia="Noto Sans" w:hAnsi="Noto Sans" w:cs="Noto Sans"/>
          <w:color w:val="000000"/>
        </w:rPr>
        <w:lastRenderedPageBreak/>
        <w:t>mujeres se encargan de proteger a las familias y gestionar el hogar durante las crisis, evidenciando roles diferenciados.</w:t>
      </w:r>
    </w:p>
    <w:p w14:paraId="78F2E11A"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89" w14:textId="26B1400C"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Estas amenazas también han agudizado conflictos preexistentes o generado nuevos. En particular, las comunidades enfrentan competencia por recursos naturales como agua, suelos y bosques, agravada por la sequía y las quemas, con conflictos que varían de leves a graves según la magnitud y la localidad. Además, la contaminación y el cambio de uso del suelo han incrementado la marginalización y las tensiones comunitarias, especialmente donde grupos sociales quedan excluidos de los beneficios o de las decisiones sobre el territorio. También se identificaron casos de conflictos por instituciones frágiles, falta de colaboración entre actores y riesgos de migración y desplazamientos forzados debido al deterioro ambiental y productivo.</w:t>
      </w:r>
    </w:p>
    <w:p w14:paraId="14D7D181"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8A" w14:textId="18B28CFF"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Los conflictos asociados suelen tener una distribución territorial amplia en todo el paisaje, aunque las zonas bajas, las áreas agrícolas y las regiones ganaderas presentan mayor concentración de tensiones. La mayoría de los conflictos fueron clasificados como moderados, lo que indica que, aunque no son aún abiertos o violentos, afectan la cohesión social y requieren atención coordinada con actores externos para su mitigación.</w:t>
      </w:r>
    </w:p>
    <w:p w14:paraId="5AF46206"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8B" w14:textId="368D048D"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En conclusión, la caracterización evidencia la urgencia de atender tanto las amenazas climáticas como las no-climáticas mediante estrategias integrales que reduzcan la exposición, fortalezcan la resiliencia comunitaria y promuevan mecanismos de resolución pacífica de conflictos para garantizar la sostenibilidad de los medios de vida y la estabilidad social del paisaje, por lo que la dinámica fue efectiva para comprender los siguientes pasos en el desarrollo del proyecto al momento de proponer las medidas </w:t>
      </w:r>
      <w:proofErr w:type="spellStart"/>
      <w:r>
        <w:rPr>
          <w:rFonts w:ascii="Noto Sans" w:eastAsia="Noto Sans" w:hAnsi="Noto Sans" w:cs="Noto Sans"/>
          <w:color w:val="000000"/>
        </w:rPr>
        <w:t>SbN</w:t>
      </w:r>
      <w:proofErr w:type="spellEnd"/>
      <w:r>
        <w:rPr>
          <w:rFonts w:ascii="Noto Sans" w:eastAsia="Noto Sans" w:hAnsi="Noto Sans" w:cs="Noto Sans"/>
          <w:color w:val="000000"/>
        </w:rPr>
        <w:t xml:space="preserve"> a impulsar.</w:t>
      </w:r>
    </w:p>
    <w:p w14:paraId="6ED29775"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8C" w14:textId="6C6160FC"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El análisis de la gobernanza del paisaje de Arriaga/Tonalá </w:t>
      </w:r>
      <w:r w:rsidRPr="008B1ED8">
        <w:rPr>
          <w:rFonts w:ascii="Noto Sans" w:eastAsia="Noto Sans" w:hAnsi="Noto Sans" w:cs="Noto Sans"/>
          <w:b/>
          <w:bCs/>
          <w:color w:val="000000"/>
        </w:rPr>
        <w:t xml:space="preserve">con </w:t>
      </w:r>
      <w:proofErr w:type="gramStart"/>
      <w:r w:rsidRPr="008B1ED8">
        <w:rPr>
          <w:rFonts w:ascii="Noto Sans" w:eastAsia="Noto Sans" w:hAnsi="Noto Sans" w:cs="Noto Sans"/>
          <w:b/>
          <w:bCs/>
          <w:color w:val="000000"/>
        </w:rPr>
        <w:t>la herramientas</w:t>
      </w:r>
      <w:proofErr w:type="gramEnd"/>
      <w:r w:rsidRPr="008B1ED8">
        <w:rPr>
          <w:rFonts w:ascii="Noto Sans" w:eastAsia="Noto Sans" w:hAnsi="Noto Sans" w:cs="Noto Sans"/>
          <w:b/>
          <w:bCs/>
          <w:color w:val="000000"/>
        </w:rPr>
        <w:t xml:space="preserve"> 5.1 y </w:t>
      </w:r>
      <w:proofErr w:type="gramStart"/>
      <w:r w:rsidRPr="008B1ED8">
        <w:rPr>
          <w:rFonts w:ascii="Noto Sans" w:eastAsia="Noto Sans" w:hAnsi="Noto Sans" w:cs="Noto Sans"/>
          <w:b/>
          <w:bCs/>
          <w:color w:val="000000"/>
        </w:rPr>
        <w:t>5.2</w:t>
      </w:r>
      <w:r>
        <w:rPr>
          <w:rFonts w:ascii="Noto Sans" w:eastAsia="Noto Sans" w:hAnsi="Noto Sans" w:cs="Noto Sans"/>
          <w:color w:val="000000"/>
        </w:rPr>
        <w:t xml:space="preserve">  revela</w:t>
      </w:r>
      <w:proofErr w:type="gramEnd"/>
      <w:r>
        <w:rPr>
          <w:rFonts w:ascii="Noto Sans" w:eastAsia="Noto Sans" w:hAnsi="Noto Sans" w:cs="Noto Sans"/>
          <w:color w:val="000000"/>
        </w:rPr>
        <w:t xml:space="preserve"> una red compleja de actores institucionales, comunitarios, privados y académicos con diferentes roles, niveles de influencia e intereses en la gestión de los medios de vida y los servicios ecosistémicos. Este diagnóstico permite identificar tanto oportunidades de colaboración como tensiones existentes, fundamentales para diseñar estrategias que fortalezcan la resiliencia y la sostenibilidad del paisaje.</w:t>
      </w:r>
    </w:p>
    <w:p w14:paraId="2342E881"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8D" w14:textId="200963B5"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Entre los actores con mayor poder e interés destacan las autoridades gubernamentales, en particular la SEMAHN, con alto compromiso en restauración de microcuencas y un papel articulador con los ayuntamientos. </w:t>
      </w:r>
      <w:r>
        <w:rPr>
          <w:rFonts w:ascii="Noto Sans" w:eastAsia="Noto Sans" w:hAnsi="Noto Sans" w:cs="Noto Sans"/>
          <w:color w:val="000000"/>
        </w:rPr>
        <w:lastRenderedPageBreak/>
        <w:t>Las autoridades municipales de Arriaga y Tonalá también tienen fuerte influencia en la gestión local, aunque en el caso de Tonalá se percibe menor interés por los temas ambientales. La SEDENA, la CONANP y la CONAGUA tienen alta capacidad de incidencia nacional, con distintas responsabilidades en seguridad, conservación, agua y manejo de riesgos, pero presentan conflictos recurrentes con sectores productivos por incumplimiento normativo o impactos de actividades extractivas.</w:t>
      </w:r>
    </w:p>
    <w:p w14:paraId="64B70006"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8E" w14:textId="58DE56DB"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Las organizaciones comunitarias, como las cooperativas pesqueras, ganaderas, turísticas y agrícolas, son actores fundamentales a nivel local y paisaje. Tienen alto interés en participar, pero enfrentan conflictos internos (por ejemplo, entre pescadores independientes y cooperativas, o entre </w:t>
      </w:r>
      <w:proofErr w:type="spellStart"/>
      <w:r>
        <w:rPr>
          <w:rFonts w:ascii="Noto Sans" w:eastAsia="Noto Sans" w:hAnsi="Noto Sans" w:cs="Noto Sans"/>
          <w:color w:val="000000"/>
        </w:rPr>
        <w:t>palaperos</w:t>
      </w:r>
      <w:proofErr w:type="spellEnd"/>
      <w:r>
        <w:rPr>
          <w:rFonts w:ascii="Noto Sans" w:eastAsia="Noto Sans" w:hAnsi="Noto Sans" w:cs="Noto Sans"/>
          <w:color w:val="000000"/>
        </w:rPr>
        <w:t xml:space="preserve"> y cooperativas turísticas) y desigualdades por la distribución de beneficios.</w:t>
      </w:r>
    </w:p>
    <w:p w14:paraId="2BED06F1"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8F" w14:textId="5B88D8AB"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En el sector privado, las empresas como queserías, empacadoras de mango y embotelladoras de agua tienen influencia económica significativa, pero muestran bajo interés en procesos de gobernanza ambiental, generando conflictos por precios, residuos y uso intensivo de recursos.</w:t>
      </w:r>
    </w:p>
    <w:p w14:paraId="330EF669"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90" w14:textId="3F3017D4"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Las ONGs y la academia cumplen un rol importante de apoyo técnico, generación de conocimiento y facilitación de procesos participativos, destacando FONCET, IDESMAC, Conservación Internacional, ECOSUR y las universidades locales. Su nivel de influencia es intermedio, pero son percibidos como aliados clave para el fortalecimiento comunitario y la innovación, lo cual favorecerá el proceso de implementación en las </w:t>
      </w:r>
      <w:proofErr w:type="spellStart"/>
      <w:r>
        <w:rPr>
          <w:rFonts w:ascii="Noto Sans" w:eastAsia="Noto Sans" w:hAnsi="Noto Sans" w:cs="Noto Sans"/>
          <w:color w:val="000000"/>
        </w:rPr>
        <w:t>SbN</w:t>
      </w:r>
      <w:proofErr w:type="spellEnd"/>
      <w:r>
        <w:rPr>
          <w:rFonts w:ascii="Noto Sans" w:eastAsia="Noto Sans" w:hAnsi="Noto Sans" w:cs="Noto Sans"/>
          <w:color w:val="000000"/>
        </w:rPr>
        <w:t xml:space="preserve"> al momento de guiar la identificación y su implementación con el pilotaje.</w:t>
      </w:r>
    </w:p>
    <w:p w14:paraId="5BCB61DA"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91" w14:textId="600FDE2E"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Las relaciones entre actores están marcadas tanto por colaboraciones como por conflictos. Las colaboraciones más destacadas se dan entre autoridades locales y estatales, ONGs, comunidades y academia en proyectos de restauración, ordenamientos territoriales y manejo de cuencas. Sin embargo, persisten conflictos por el acceso a recursos naturales, el incumplimiento de acuerdos comunitarios, la falta de coordinación interinstitucional y la competencia económica en sectores clave como la pesca, la agricultura y el turismo.</w:t>
      </w:r>
    </w:p>
    <w:p w14:paraId="560EB484"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92" w14:textId="2475CB8D"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El análisis de poder e interés muestra que varios actores comunitarios, como las asociaciones ganaderas, las cooperativas pesqueras y las autoridades ejidales, combinan alto interés con influencia significativa a nivel local. En contraste, actores como la PROFEPA, la SEMARNAT y algunas empresas </w:t>
      </w:r>
      <w:r>
        <w:rPr>
          <w:rFonts w:ascii="Noto Sans" w:eastAsia="Noto Sans" w:hAnsi="Noto Sans" w:cs="Noto Sans"/>
          <w:color w:val="000000"/>
        </w:rPr>
        <w:lastRenderedPageBreak/>
        <w:t xml:space="preserve">privadas presentan alta capacidad </w:t>
      </w:r>
      <w:proofErr w:type="gramStart"/>
      <w:r>
        <w:rPr>
          <w:rFonts w:ascii="Noto Sans" w:eastAsia="Noto Sans" w:hAnsi="Noto Sans" w:cs="Noto Sans"/>
          <w:color w:val="000000"/>
        </w:rPr>
        <w:t>formal</w:t>
      </w:r>
      <w:proofErr w:type="gramEnd"/>
      <w:r>
        <w:rPr>
          <w:rFonts w:ascii="Noto Sans" w:eastAsia="Noto Sans" w:hAnsi="Noto Sans" w:cs="Noto Sans"/>
          <w:color w:val="000000"/>
        </w:rPr>
        <w:t xml:space="preserve"> pero bajo interés, lo que limita su efectividad.</w:t>
      </w:r>
    </w:p>
    <w:p w14:paraId="0857D788"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93" w14:textId="0D30130F"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El análisis de la </w:t>
      </w:r>
      <w:r w:rsidRPr="008B1ED8">
        <w:rPr>
          <w:rFonts w:ascii="Noto Sans" w:eastAsia="Noto Sans" w:hAnsi="Noto Sans" w:cs="Noto Sans"/>
          <w:b/>
          <w:bCs/>
          <w:color w:val="000000"/>
        </w:rPr>
        <w:t>Herramienta 5.2 – Espacios de diálogo</w:t>
      </w:r>
      <w:r>
        <w:rPr>
          <w:rFonts w:ascii="Noto Sans" w:eastAsia="Noto Sans" w:hAnsi="Noto Sans" w:cs="Noto Sans"/>
          <w:color w:val="000000"/>
        </w:rPr>
        <w:t xml:space="preserve"> y coordinación en el paisaje de Arriaga/Tonalá permitió identificar y caracterizar los principales espacios formales de articulación </w:t>
      </w:r>
      <w:proofErr w:type="spellStart"/>
      <w:r>
        <w:rPr>
          <w:rFonts w:ascii="Noto Sans" w:eastAsia="Noto Sans" w:hAnsi="Noto Sans" w:cs="Noto Sans"/>
          <w:color w:val="000000"/>
        </w:rPr>
        <w:t>multiactor</w:t>
      </w:r>
      <w:proofErr w:type="spellEnd"/>
      <w:r>
        <w:rPr>
          <w:rFonts w:ascii="Noto Sans" w:eastAsia="Noto Sans" w:hAnsi="Noto Sans" w:cs="Noto Sans"/>
          <w:color w:val="000000"/>
        </w:rPr>
        <w:t xml:space="preserve"> vinculados a los medios de vida y los servicios ecosistémicos. Estos espacios constituyen mecanismos clave para la gobernanza territorial, aunque presentan fortalezas y debilidades que condicionan su efectividad.</w:t>
      </w:r>
    </w:p>
    <w:p w14:paraId="2EB86475"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94" w14:textId="2CF42EE9"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A nivel local, la Casa Ejidal es un espacio formal que congrega a ejidatarios, CONANP y gerencias de cuenca para atender necesidades comunitarias, con un nivel medio de incidencia. Destaca por su capacidad de generar acuerdos mayoritarios que benefician al colectivo, aunque se ve debilitada por intereses individuales y falta de confianza en el agente ejidal. También local, las Jornadas de limpieza reúnen a actores públicos, privados y comunitarios para la recolección de residuos en zonas turísticas. Este espacio refleja buena voluntad intersectorial, aunque limitada por la desmotivación de algunos actores clave y fallas de comunicación.</w:t>
      </w:r>
    </w:p>
    <w:p w14:paraId="60C0A860"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95" w14:textId="72F29EBD"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En el sector pesquero, la Asamblea de sociedades cooperativas pesqueras opera a nivel paisaje y tiene incidencia media. Facilita acuerdos formales entre pescadores, SAGyP, UNICACH y los ayuntamientos, pero enfrenta restricciones por falta de recursos económicos. Complementariamente, la Federación Pesquera, de alcance regional, coordina la gestión de recursos de las cooperativas y organiza asambleas; sin embargo, sus logros se ven obstaculizados por la fragmentación de intereses entre sus directivos y la falta de reconocimiento hacia los delegados.</w:t>
      </w:r>
    </w:p>
    <w:p w14:paraId="0F03BB52"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96" w14:textId="5A08647B"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El sector ganadero cuenta con el Comité Regional de Ganadería, de alta incidencia, que agrupa asociaciones locales, la unión regional y autoridades para atender emergencias fitosanitarias. Este espacio sobresale por la presencia de técnicos acreditados y buenas relaciones con las autoridades, aunque requiere mayor organización interna.</w:t>
      </w:r>
    </w:p>
    <w:p w14:paraId="3B3F6126"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97" w14:textId="1D35FD33"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En cuanto a planeación y desarrollo, el Comité de Planeación para el Desarrollo Municipal y el Comité de Planeación para el Desarrollo Rural, ambos de incidencia alta, orientan la inversión pública y la gestión de infraestructura agropecuaria. No obstante, su efectividad está limitada por la exclusión de actores relevantes, la dependencia política y la reasignación de presupuestos hacia otras prioridades.</w:t>
      </w:r>
    </w:p>
    <w:p w14:paraId="00000098" w14:textId="77777777"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lastRenderedPageBreak/>
        <w:t>El Comité Municipal de Desarrollo Turístico de Arriaga promueve la planeación y fomento del turismo, con incidencia media, y fortalezas en su capacidad de vinculación con el gobierno estatal, aunque con dificultades para lograr acuerdos estratégicos entre los prestadores de servicios.</w:t>
      </w:r>
    </w:p>
    <w:p w14:paraId="5E3AC6C1"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99" w14:textId="097EBD8F"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Finalmente, el Comité de Protección Civil, de alcance regional, coordina a instituciones públicas, fuerzas armadas y comunidades para atender desastres naturales. Aunque cuenta con estructura operativa y experiencia, enfrenta limitaciones por la centralización de las decisiones y la insuficiencia de recursos humanos y materiales.</w:t>
      </w:r>
    </w:p>
    <w:p w14:paraId="4648B0D0"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9A" w14:textId="0FE7AF9C"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El análisis de la </w:t>
      </w:r>
      <w:r w:rsidRPr="008B1ED8">
        <w:rPr>
          <w:rFonts w:ascii="Noto Sans" w:eastAsia="Noto Sans" w:hAnsi="Noto Sans" w:cs="Noto Sans"/>
          <w:b/>
          <w:bCs/>
          <w:color w:val="000000"/>
        </w:rPr>
        <w:t>Herramienta 6.1 – Evolución de los conflictos</w:t>
      </w:r>
      <w:r>
        <w:rPr>
          <w:rFonts w:ascii="Noto Sans" w:eastAsia="Noto Sans" w:hAnsi="Noto Sans" w:cs="Noto Sans"/>
          <w:color w:val="000000"/>
        </w:rPr>
        <w:t xml:space="preserve"> en el paisaje de Arriaga/Tonalá permitió reconstruir la cronología de los eventos clave de los conflictos priorizados, evaluando las tensiones y los factores que han favorecido o dificultado la cooperación entre los actores. Los conflictos analizados se agrupan en tres sectores principales: pesca/turismo, agricultura y ganadería.</w:t>
      </w:r>
    </w:p>
    <w:p w14:paraId="2D1C339B"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9B" w14:textId="6DB3FDCB"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En el sector pesca/turismo (C1AP), los conflictos relacionados con el acceso y manejo del sistema lagunar comenzaron en 1988 con la apertura del canal Capulín, que generó temor de contaminación entre sistemas lagunares y diferencias intolerables entre actores, aunque con acuerdos mínimos facilitados por el gobierno estatal. En los años siguientes, la producción bajó debido a azolvamientos e inundaciones (1990 y 1998), pero la fuerte intervención federal favoreció la cooperación y redujo las tensiones. A partir del 2000, la competencia por áreas de pesca entre comunidades como Joaquín Amaro y Manguito reactivó las tensiones, aunque mediadas por acuerdos locales. El conflicto escaló en 2011–2012, con enfrentamientos entre pescadores de Oaxaca y Chiapas por malas prácticas, resuelto parcialmente por federaciones y autoridades estatales. En 2015–2016 y 2025 nuevos azolvamientos y pesca ilegal agudizaron las diferencias, con acuerdos insuficientes y una tensión negativa persistente.</w:t>
      </w:r>
    </w:p>
    <w:p w14:paraId="1BB75511"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9C" w14:textId="2DF499A7"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En el sector agricultura (C1DA), los conflictos giran en torno al acceso al agua, exacerbados por obras de infraestructura vial y fenómenos climáticos. Ya en 1990 y 2004 se reportaban desabastos de agua en zonas urbanas y rurales, con tensiones latentes. El huracán Stan (2004–2006) agravó la situación al afectar las fuentes de agua y la red hidráulica, sin una respuesta adecuada de las autoridades, lo que elevó las tensiones. La rectificación de ríos y la lentitud en las obras incrementaron la insatisfacción de la población durante la década de 2000, con favoritismos en la dotación de agua que erosionaron la confianza comunitaria. En 2022–2024, la crisis hídrica alcanzó </w:t>
      </w:r>
      <w:r>
        <w:rPr>
          <w:rFonts w:ascii="Noto Sans" w:eastAsia="Noto Sans" w:hAnsi="Noto Sans" w:cs="Noto Sans"/>
          <w:color w:val="000000"/>
        </w:rPr>
        <w:lastRenderedPageBreak/>
        <w:t>un punto crítico, con precios altos y mala calidad del agua, sin soluciones efectivas de los tres niveles de gobierno.</w:t>
      </w:r>
    </w:p>
    <w:p w14:paraId="3B85AF4A"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9D" w14:textId="634725E5"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En el sector ganadería, se documentaron conflictos locales asociados a la gestión de aguas y tierras. La rectificación de ríos y arroyos y la demolición de diques generaron diferencias entre actores, aunque en algunos casos las decisiones de jueces municipales lograron acuerdos vinculantes. También se registraron conflictos por daños en parcelas por invasión de ganado, resueltos parcialmente con pagos por pastura.</w:t>
      </w:r>
    </w:p>
    <w:p w14:paraId="7C96450D"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9E" w14:textId="12A26F58"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En términos de tensiones, los conflictos agrícolas mostraron los niveles más altos y persistentes de tensión negativa (-2 en varios eventos), debido a la falta de soluciones estructurales y desigualdades socioeconómicas. En pesca/turismo, las tensiones fluctuaron con periodos de mayor cooperación en los años 90, deteriorándose en las dos últimas décadas. En ganadería, los conflictos son más localizados y moderados, con una mejor disposición a resolverlos a través de mecanismos comunitarios.</w:t>
      </w:r>
    </w:p>
    <w:p w14:paraId="0000009F" w14:textId="77777777"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Nuestro aprendizaje con esta dinámica es que, los conflictos en el paisaje muestran dinámicas complejas, con factores estructurales (como desigualdad en el acceso a recursos y malas prácticas) que intensifican las tensiones, y actores institucionales (como gobiernos locales y federales) que, en ciertos momentos, han facilitado la cooperación. Fortalecer las capacidades locales, institucionalizar mecanismos de diálogo y atender las causas estructurales son claves para reducir tensiones y avanzar hacia una paz sostenible.</w:t>
      </w:r>
    </w:p>
    <w:p w14:paraId="66A81F22"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A0" w14:textId="2BE40BDE"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El análisis de la </w:t>
      </w:r>
      <w:r w:rsidRPr="008B1ED8">
        <w:rPr>
          <w:rFonts w:ascii="Noto Sans" w:eastAsia="Noto Sans" w:hAnsi="Noto Sans" w:cs="Noto Sans"/>
          <w:b/>
          <w:bCs/>
          <w:color w:val="000000"/>
        </w:rPr>
        <w:t>Herramienta 6.2 – Actores involucrados en los conflictos</w:t>
      </w:r>
      <w:r>
        <w:rPr>
          <w:rFonts w:ascii="Noto Sans" w:eastAsia="Noto Sans" w:hAnsi="Noto Sans" w:cs="Noto Sans"/>
          <w:color w:val="000000"/>
        </w:rPr>
        <w:t xml:space="preserve"> en el paisaje de Arriaga/Tonalá permite identificar quiénes son los actores clave en los tres conflictos priorizados, cómo han sido impactados por estos y cuál ha sido su rol e influencia en la escalada o mitigación de las tensiones.</w:t>
      </w:r>
    </w:p>
    <w:p w14:paraId="000000A1" w14:textId="77777777"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Conflicto en pesca/turismo (C1AP) – Competencia por áreas de pesca y azolvamiento del sistema lagunar</w:t>
      </w:r>
    </w:p>
    <w:p w14:paraId="78E9169C"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A2" w14:textId="5ABF533C"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Los pescadores organizados y libres de las comunidades de Miguel Hidalgo, Lázaro Cárdenas, La Laguna, Llano Largo, El Congreso, Huizachal, San Luqueño y pescadores no asociados han sido negativamente impactados por la baja producción pesquera, situación que los ha llevado a optar por migrar en lugar de buscar soluciones colectivas, contribuyendo así negativamente a la persistencia del conflicto.</w:t>
      </w:r>
    </w:p>
    <w:p w14:paraId="000000A3" w14:textId="77777777"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Las instituciones públicas como CONAPESCA, el gobierno estatal, la Secretaría del Bienestar y la Secretaría de Marina también han sido impactadas negativamente por las bajas estadísticas y la presión social. Sin </w:t>
      </w:r>
      <w:r>
        <w:rPr>
          <w:rFonts w:ascii="Noto Sans" w:eastAsia="Noto Sans" w:hAnsi="Noto Sans" w:cs="Noto Sans"/>
          <w:color w:val="000000"/>
        </w:rPr>
        <w:lastRenderedPageBreak/>
        <w:t>embargo, su falta de recursos y de acciones efectivas las han mantenido en un rol neutro respecto a la solución del conflicto.</w:t>
      </w:r>
    </w:p>
    <w:p w14:paraId="000000A4" w14:textId="77777777"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Conflicto en agricultura (C1DA) – Crisis hídrica por sobreexplotación, contaminación y obras ineficaces</w:t>
      </w:r>
    </w:p>
    <w:p w14:paraId="4B642F04"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A5" w14:textId="21155B81"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El ayuntamiento de Arriaga y Tonalá ha experimentado presión social por la insatisfacción ciudadana, pero carece de capacidad para invertir en soluciones sostenibles, por lo que ha mantenido un papel neutro en la resolución del conflicto.</w:t>
      </w:r>
    </w:p>
    <w:p w14:paraId="2879D0A2"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A6" w14:textId="5D6C8D69"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La sociedad civil urbana y conurbana ha sido negativamente impactada por los mayores costos y la mala calidad del agua, pero su opacidad y falta de participación en la búsqueda de soluciones integrales también les deja un rol neutro.</w:t>
      </w:r>
    </w:p>
    <w:p w14:paraId="5F593654"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A7" w14:textId="6445A85F"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Las instituciones CONAGUA e INESA muestran nulo interés y su inacción las ubica como actores que agravan el conflicto. En contraste, las gerencias de cuencas de Arriaga y Tonalá, aunque limitadas en recursos, han asumido un rol positivo mediante iniciativas como restauración de riberas, manejo sostenible y otras acciones integrales para reducir las tensiones.</w:t>
      </w:r>
    </w:p>
    <w:p w14:paraId="000000A8" w14:textId="77777777"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Conflictos en ganadería (C1P y C1A) – Invasión de parcelas, rectificación de ríos y demolición de diques</w:t>
      </w:r>
    </w:p>
    <w:p w14:paraId="3D60308D"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A9" w14:textId="7C860AFB"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En los conflictos por invasión de pasturas (C1P), el productor negligente obtiene un beneficio temporal al usar pastura </w:t>
      </w:r>
      <w:proofErr w:type="gramStart"/>
      <w:r>
        <w:rPr>
          <w:rFonts w:ascii="Noto Sans" w:eastAsia="Noto Sans" w:hAnsi="Noto Sans" w:cs="Noto Sans"/>
          <w:color w:val="000000"/>
        </w:rPr>
        <w:t>ajena</w:t>
      </w:r>
      <w:proofErr w:type="gramEnd"/>
      <w:r>
        <w:rPr>
          <w:rFonts w:ascii="Noto Sans" w:eastAsia="Noto Sans" w:hAnsi="Noto Sans" w:cs="Noto Sans"/>
          <w:color w:val="000000"/>
        </w:rPr>
        <w:t xml:space="preserve"> pero se niega a reparar cercas, contribuyendo negativamente al conflicto. Por su parte, el productor afectado pierde pastura y ganado, con un impacto negativo en su economía y bienestar.</w:t>
      </w:r>
    </w:p>
    <w:p w14:paraId="049C6221"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AA" w14:textId="2E336452"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En ambos conflictos (C1P y C1A), el comisario ejidal resulta negativamente afectado al tener que dedicar tiempo y esfuerzos a mediar; en algunos casos logra acuerdos positivos, pero en otros no logra resolver las diferencias. El juez municipal, con rol neutro como autoridad, tiene un impacto positivo al procurar la conciliación. En cambio, la fiscalía, aunque también con un rol neutro, es percibida negativamente al emitir resoluciones poco objetivas por presuntos conflictos de interés.</w:t>
      </w:r>
    </w:p>
    <w:p w14:paraId="3E2EA0AA" w14:textId="77777777" w:rsidR="008B1ED8" w:rsidRDefault="008B1ED8">
      <w:pPr>
        <w:pBdr>
          <w:top w:val="nil"/>
          <w:left w:val="nil"/>
          <w:bottom w:val="nil"/>
          <w:right w:val="nil"/>
          <w:between w:val="nil"/>
        </w:pBdr>
        <w:jc w:val="both"/>
        <w:rPr>
          <w:rFonts w:ascii="Noto Sans" w:eastAsia="Noto Sans" w:hAnsi="Noto Sans" w:cs="Noto Sans"/>
          <w:color w:val="000000"/>
        </w:rPr>
      </w:pPr>
    </w:p>
    <w:p w14:paraId="000000AB" w14:textId="7E6D3246"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En el caso de la demolición de diques (C1A), el vecino que construyó el dique resulta negativamente impactado al enfrentar pérdida de su inversión y prioriza intereses propios sobre los comunitarios, mientras que otro vecino afectado amenaza con demandar si no se logra una conciliación, aumentando las tensiones.</w:t>
      </w:r>
    </w:p>
    <w:p w14:paraId="000000AC" w14:textId="77777777" w:rsidR="00EE37A3" w:rsidRDefault="00000000">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lastRenderedPageBreak/>
        <w:t>Este análisis muestra que la mayoría de los actores afectados tienden a responder desde una lógica individual o limitada por falta de recursos, mientras que los actores con visión más colectiva y con iniciativas integrales (como las gerencias de cuenca) son minoritarios y carecen de apoyo suficiente. Fortalecer a estos actores positivos y fomentar la cooperación entre sectores resulta clave para mitigar los conflictos en el paisaje.</w:t>
      </w:r>
    </w:p>
    <w:sectPr w:rsidR="00EE37A3">
      <w:foot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47F64" w14:textId="77777777" w:rsidR="00B17414" w:rsidRDefault="00B17414">
      <w:r>
        <w:separator/>
      </w:r>
    </w:p>
  </w:endnote>
  <w:endnote w:type="continuationSeparator" w:id="0">
    <w:p w14:paraId="34ACBC60" w14:textId="77777777" w:rsidR="00B17414" w:rsidRDefault="00B17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746F5CD-75CB-43B0-9629-7D016769998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23871495-F940-4414-ADFA-F09ED7C64740}"/>
  </w:font>
  <w:font w:name="Oswald SemiBold">
    <w:charset w:val="00"/>
    <w:family w:val="auto"/>
    <w:pitch w:val="variable"/>
    <w:sig w:usb0="2000020F" w:usb1="00000000" w:usb2="00000000" w:usb3="00000000" w:csb0="00000197" w:csb1="00000000"/>
    <w:embedBold r:id="rId3" w:fontKey="{349CEF5F-6294-4EA3-970C-154D4C5FC6D3}"/>
  </w:font>
  <w:font w:name="Aptos Display">
    <w:charset w:val="00"/>
    <w:family w:val="swiss"/>
    <w:pitch w:val="variable"/>
    <w:sig w:usb0="20000287" w:usb1="00000003" w:usb2="00000000" w:usb3="00000000" w:csb0="0000019F" w:csb1="00000000"/>
    <w:embedRegular r:id="rId4" w:fontKey="{938E492C-4C86-46D0-B40D-58D25958FB7E}"/>
  </w:font>
  <w:font w:name="Oswald Medium">
    <w:charset w:val="00"/>
    <w:family w:val="auto"/>
    <w:pitch w:val="variable"/>
    <w:sig w:usb0="2000020F" w:usb1="00000000" w:usb2="00000000" w:usb3="00000000" w:csb0="00000197" w:csb1="00000000"/>
    <w:embedRegular r:id="rId5" w:fontKey="{0208FF9D-94BF-4FD0-A852-1D01FF8BF0D1}"/>
  </w:font>
  <w:font w:name="Noto Sans SemiCondensed SemiCon">
    <w:panose1 w:val="00000000000000000000"/>
    <w:charset w:val="00"/>
    <w:family w:val="roman"/>
    <w:notTrueType/>
    <w:pitch w:val="default"/>
  </w:font>
  <w:font w:name="Aptos">
    <w:charset w:val="00"/>
    <w:family w:val="swiss"/>
    <w:pitch w:val="variable"/>
    <w:sig w:usb0="20000287" w:usb1="00000003" w:usb2="00000000" w:usb3="00000000" w:csb0="0000019F" w:csb1="00000000"/>
    <w:embedRegular r:id="rId6" w:fontKey="{9D7A018B-8A54-4DD1-ACF2-316F3DABCC47}"/>
    <w:embedBold r:id="rId7" w:fontKey="{3DA7A8E0-E5B3-493E-908C-79644BD5E44C}"/>
    <w:embedBoldItalic r:id="rId8" w:fontKey="{1D2A2F25-02B3-4FCC-8F85-C0353C856BDD}"/>
  </w:font>
  <w:font w:name="Oswald">
    <w:charset w:val="00"/>
    <w:family w:val="auto"/>
    <w:pitch w:val="variable"/>
    <w:sig w:usb0="2000020F" w:usb1="00000000" w:usb2="00000000" w:usb3="00000000" w:csb0="00000197" w:csb1="00000000"/>
    <w:embedRegular r:id="rId9" w:fontKey="{E9FBB4B7-9E3D-477F-837B-590D4CCBA100}"/>
  </w:font>
  <w:font w:name="Noto Sans">
    <w:charset w:val="00"/>
    <w:family w:val="swiss"/>
    <w:pitch w:val="variable"/>
    <w:sig w:usb0="E00082FF" w:usb1="400078FF" w:usb2="00000021" w:usb3="00000000" w:csb0="0000019F" w:csb1="00000000"/>
    <w:embedRegular r:id="rId10" w:fontKey="{DAAD33CF-22F1-41F7-805D-C1989FB44855}"/>
    <w:embedBold r:id="rId11" w:fontKey="{6D8CBB4B-29D5-4A9E-8AAE-E4C0EEBCFCBB}"/>
    <w:embedItalic r:id="rId12" w:fontKey="{8D9AF978-4957-4831-B06C-D3743DF310B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6" w14:textId="77777777" w:rsidR="00EE37A3" w:rsidRDefault="00000000">
    <w:pPr>
      <w:pBdr>
        <w:top w:val="nil"/>
        <w:left w:val="nil"/>
        <w:bottom w:val="nil"/>
        <w:right w:val="nil"/>
        <w:between w:val="nil"/>
      </w:pBdr>
      <w:tabs>
        <w:tab w:val="center" w:pos="4419"/>
        <w:tab w:val="right" w:pos="8838"/>
      </w:tabs>
      <w:rPr>
        <w:color w:val="000000"/>
      </w:rPr>
    </w:pPr>
    <w:r>
      <w:rPr>
        <w:noProof/>
      </w:rPr>
      <w:drawing>
        <wp:anchor distT="0" distB="0" distL="0" distR="0" simplePos="0" relativeHeight="251658240" behindDoc="1" locked="0" layoutInCell="1" hidden="0" allowOverlap="1" wp14:anchorId="459432F0" wp14:editId="6172F3D5">
          <wp:simplePos x="0" y="0"/>
          <wp:positionH relativeFrom="column">
            <wp:posOffset>-503999</wp:posOffset>
          </wp:positionH>
          <wp:positionV relativeFrom="paragraph">
            <wp:posOffset>-273599</wp:posOffset>
          </wp:positionV>
          <wp:extent cx="6576346" cy="929401"/>
          <wp:effectExtent l="0" t="0" r="0" b="0"/>
          <wp:wrapNone/>
          <wp:docPr id="206898381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l="-1686" t="90011" r="1685" b="2"/>
                  <a:stretch>
                    <a:fillRect/>
                  </a:stretch>
                </pic:blipFill>
                <pic:spPr>
                  <a:xfrm>
                    <a:off x="0" y="0"/>
                    <a:ext cx="6576346" cy="929401"/>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AC609" w14:textId="77777777" w:rsidR="00B17414" w:rsidRDefault="00B17414">
      <w:r>
        <w:separator/>
      </w:r>
    </w:p>
  </w:footnote>
  <w:footnote w:type="continuationSeparator" w:id="0">
    <w:p w14:paraId="57FACB1E" w14:textId="77777777" w:rsidR="00B17414" w:rsidRDefault="00B174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35D0F"/>
    <w:multiLevelType w:val="multilevel"/>
    <w:tmpl w:val="CB4A89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49C2F2C"/>
    <w:multiLevelType w:val="multilevel"/>
    <w:tmpl w:val="F0441C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C6D6EA2"/>
    <w:multiLevelType w:val="multilevel"/>
    <w:tmpl w:val="03AC1E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E2D000D"/>
    <w:multiLevelType w:val="multilevel"/>
    <w:tmpl w:val="5EE603D2"/>
    <w:lvl w:ilvl="0">
      <w:start w:val="1"/>
      <w:numFmt w:val="upperRoman"/>
      <w:lvlText w:val="%1."/>
      <w:lvlJc w:val="left"/>
      <w:pPr>
        <w:ind w:left="360" w:hanging="720"/>
      </w:p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4" w15:restartNumberingAfterBreak="0">
    <w:nsid w:val="3E3374C6"/>
    <w:multiLevelType w:val="multilevel"/>
    <w:tmpl w:val="63B0C2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7500219"/>
    <w:multiLevelType w:val="multilevel"/>
    <w:tmpl w:val="351A77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4B824CB"/>
    <w:multiLevelType w:val="multilevel"/>
    <w:tmpl w:val="89782B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6F1730A"/>
    <w:multiLevelType w:val="multilevel"/>
    <w:tmpl w:val="4B52E5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B585F45"/>
    <w:multiLevelType w:val="multilevel"/>
    <w:tmpl w:val="264C8D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18175316">
    <w:abstractNumId w:val="3"/>
  </w:num>
  <w:num w:numId="2" w16cid:durableId="710425622">
    <w:abstractNumId w:val="0"/>
  </w:num>
  <w:num w:numId="3" w16cid:durableId="254097129">
    <w:abstractNumId w:val="7"/>
  </w:num>
  <w:num w:numId="4" w16cid:durableId="1232961153">
    <w:abstractNumId w:val="4"/>
  </w:num>
  <w:num w:numId="5" w16cid:durableId="480540832">
    <w:abstractNumId w:val="1"/>
  </w:num>
  <w:num w:numId="6" w16cid:durableId="24329710">
    <w:abstractNumId w:val="8"/>
  </w:num>
  <w:num w:numId="7" w16cid:durableId="1524440500">
    <w:abstractNumId w:val="5"/>
  </w:num>
  <w:num w:numId="8" w16cid:durableId="1571882999">
    <w:abstractNumId w:val="6"/>
  </w:num>
  <w:num w:numId="9" w16cid:durableId="8097855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7A3"/>
    <w:rsid w:val="00260D67"/>
    <w:rsid w:val="008B1ED8"/>
    <w:rsid w:val="009047B7"/>
    <w:rsid w:val="00A315F1"/>
    <w:rsid w:val="00B17414"/>
    <w:rsid w:val="00DB3974"/>
    <w:rsid w:val="00EE37A3"/>
    <w:rsid w:val="00F036C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92776"/>
  <w15:docId w15:val="{AB7E379B-A09B-4735-9A70-F2B1A050C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color w:val="595959"/>
    </w:rPr>
  </w:style>
  <w:style w:type="paragraph" w:styleId="Ttulo7">
    <w:name w:val="heading 7"/>
    <w:basedOn w:val="Normal"/>
    <w:next w:val="Normal"/>
    <w:link w:val="Ttulo7Car"/>
    <w:uiPriority w:val="9"/>
    <w:semiHidden/>
    <w:unhideWhenUsed/>
    <w:qFormat/>
    <w:rsid w:val="00260A1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0A1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0A1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customStyle="1" w:styleId="BigTitles">
    <w:name w:val="Big Titles"/>
    <w:basedOn w:val="Normal"/>
    <w:qFormat/>
    <w:rsid w:val="00EC6E67"/>
    <w:pPr>
      <w:spacing w:after="160" w:line="276" w:lineRule="auto"/>
    </w:pPr>
    <w:rPr>
      <w:rFonts w:ascii="Oswald SemiBold" w:eastAsiaTheme="majorEastAsia" w:hAnsi="Oswald SemiBold" w:cstheme="majorBidi"/>
      <w:b/>
      <w:bCs/>
      <w:color w:val="B71373"/>
      <w:sz w:val="48"/>
      <w:szCs w:val="48"/>
      <w:lang w:eastAsia="es-ES_tradnl"/>
    </w:rPr>
  </w:style>
  <w:style w:type="character" w:customStyle="1" w:styleId="Ttulo1Car">
    <w:name w:val="Título 1 Car"/>
    <w:basedOn w:val="Fuentedeprrafopredeter"/>
    <w:uiPriority w:val="9"/>
    <w:rsid w:val="00260A1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260A1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260A1D"/>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rsid w:val="00260A1D"/>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260A1D"/>
    <w:rPr>
      <w:rFonts w:eastAsiaTheme="majorEastAsia" w:cstheme="majorBidi"/>
      <w:color w:val="0F4761" w:themeColor="accent1" w:themeShade="BF"/>
    </w:rPr>
  </w:style>
  <w:style w:type="character" w:customStyle="1" w:styleId="Ttulo6Car">
    <w:name w:val="Título 6 Car"/>
    <w:basedOn w:val="Fuentedeprrafopredeter"/>
    <w:uiPriority w:val="9"/>
    <w:semiHidden/>
    <w:rsid w:val="00260A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0A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0A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0A1D"/>
    <w:rPr>
      <w:rFonts w:eastAsiaTheme="majorEastAsia" w:cstheme="majorBidi"/>
      <w:color w:val="272727" w:themeColor="text1" w:themeTint="D8"/>
    </w:rPr>
  </w:style>
  <w:style w:type="character" w:customStyle="1" w:styleId="TtuloCar">
    <w:name w:val="Título Car"/>
    <w:basedOn w:val="Fuentedeprrafopredeter"/>
    <w:uiPriority w:val="10"/>
    <w:rsid w:val="00260A1D"/>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260A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0A1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260A1D"/>
    <w:rPr>
      <w:i/>
      <w:iCs/>
      <w:color w:val="404040" w:themeColor="text1" w:themeTint="BF"/>
    </w:rPr>
  </w:style>
  <w:style w:type="paragraph" w:styleId="Prrafodelista">
    <w:name w:val="List Paragraph"/>
    <w:basedOn w:val="Normal"/>
    <w:uiPriority w:val="34"/>
    <w:qFormat/>
    <w:rsid w:val="00260A1D"/>
    <w:pPr>
      <w:ind w:left="720"/>
      <w:contextualSpacing/>
    </w:pPr>
  </w:style>
  <w:style w:type="character" w:styleId="nfasisintenso">
    <w:name w:val="Intense Emphasis"/>
    <w:basedOn w:val="Fuentedeprrafopredeter"/>
    <w:uiPriority w:val="21"/>
    <w:qFormat/>
    <w:rsid w:val="00260A1D"/>
    <w:rPr>
      <w:i/>
      <w:iCs/>
      <w:color w:val="0F4761" w:themeColor="accent1" w:themeShade="BF"/>
    </w:rPr>
  </w:style>
  <w:style w:type="paragraph" w:styleId="Citadestacada">
    <w:name w:val="Intense Quote"/>
    <w:basedOn w:val="Normal"/>
    <w:next w:val="Normal"/>
    <w:link w:val="CitadestacadaCar"/>
    <w:uiPriority w:val="30"/>
    <w:qFormat/>
    <w:rsid w:val="00260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60A1D"/>
    <w:rPr>
      <w:i/>
      <w:iCs/>
      <w:color w:val="0F4761" w:themeColor="accent1" w:themeShade="BF"/>
    </w:rPr>
  </w:style>
  <w:style w:type="character" w:styleId="Referenciaintensa">
    <w:name w:val="Intense Reference"/>
    <w:basedOn w:val="Fuentedeprrafopredeter"/>
    <w:uiPriority w:val="32"/>
    <w:qFormat/>
    <w:rsid w:val="00260A1D"/>
    <w:rPr>
      <w:b/>
      <w:bCs/>
      <w:smallCaps/>
      <w:color w:val="0F4761" w:themeColor="accent1" w:themeShade="BF"/>
      <w:spacing w:val="5"/>
    </w:rPr>
  </w:style>
  <w:style w:type="paragraph" w:customStyle="1" w:styleId="Subtitles">
    <w:name w:val="Subtitles"/>
    <w:basedOn w:val="BigTitles"/>
    <w:qFormat/>
    <w:rsid w:val="00260A1D"/>
    <w:rPr>
      <w:rFonts w:ascii="Oswald Medium" w:hAnsi="Oswald Medium"/>
      <w:b w:val="0"/>
      <w:bCs w:val="0"/>
      <w:sz w:val="28"/>
      <w:szCs w:val="28"/>
      <w:lang w:eastAsia="es-MX"/>
    </w:rPr>
  </w:style>
  <w:style w:type="paragraph" w:customStyle="1" w:styleId="Textoindependiente1">
    <w:name w:val="Texto independiente1"/>
    <w:basedOn w:val="Normal"/>
    <w:qFormat/>
    <w:rsid w:val="00260A1D"/>
    <w:pPr>
      <w:spacing w:after="160" w:line="276" w:lineRule="auto"/>
      <w:jc w:val="both"/>
    </w:pPr>
    <w:rPr>
      <w:rFonts w:ascii="Noto Sans SemiCondensed SemiCon" w:eastAsiaTheme="minorEastAsia" w:hAnsi="Noto Sans SemiCondensed SemiCon" w:cs="Noto Sans SemiCondensed SemiCon"/>
      <w:kern w:val="2"/>
      <w:sz w:val="18"/>
      <w:szCs w:val="18"/>
      <w:lang w:eastAsia="en-US"/>
    </w:rPr>
  </w:style>
  <w:style w:type="table" w:styleId="Tablaconcuadrcula">
    <w:name w:val="Table Grid"/>
    <w:basedOn w:val="Tablanormal"/>
    <w:uiPriority w:val="39"/>
    <w:rsid w:val="00260A1D"/>
    <w:rPr>
      <w:sz w:val="22"/>
      <w:szCs w:val="22"/>
      <w:lang w:val="es-H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eynumbers">
    <w:name w:val="Key numbers"/>
    <w:basedOn w:val="Subtitles"/>
    <w:qFormat/>
    <w:rsid w:val="00260A1D"/>
    <w:rPr>
      <w:color w:val="B51E7E"/>
      <w:sz w:val="48"/>
      <w:szCs w:val="48"/>
    </w:rPr>
  </w:style>
  <w:style w:type="paragraph" w:styleId="Encabezado">
    <w:name w:val="header"/>
    <w:basedOn w:val="Normal"/>
    <w:link w:val="EncabezadoCar"/>
    <w:uiPriority w:val="99"/>
    <w:unhideWhenUsed/>
    <w:rsid w:val="00BE129F"/>
    <w:pPr>
      <w:tabs>
        <w:tab w:val="center" w:pos="4419"/>
        <w:tab w:val="right" w:pos="8838"/>
      </w:tabs>
    </w:pPr>
  </w:style>
  <w:style w:type="character" w:customStyle="1" w:styleId="EncabezadoCar">
    <w:name w:val="Encabezado Car"/>
    <w:basedOn w:val="Fuentedeprrafopredeter"/>
    <w:link w:val="Encabezado"/>
    <w:uiPriority w:val="99"/>
    <w:rsid w:val="00BE129F"/>
    <w:rPr>
      <w:rFonts w:ascii="Times New Roman" w:eastAsia="Times New Roman" w:hAnsi="Times New Roman" w:cs="Times New Roman"/>
      <w:kern w:val="0"/>
      <w:lang w:eastAsia="es-MX"/>
    </w:rPr>
  </w:style>
  <w:style w:type="paragraph" w:styleId="Piedepgina">
    <w:name w:val="footer"/>
    <w:basedOn w:val="Normal"/>
    <w:link w:val="PiedepginaCar"/>
    <w:uiPriority w:val="99"/>
    <w:unhideWhenUsed/>
    <w:rsid w:val="00BE129F"/>
    <w:pPr>
      <w:tabs>
        <w:tab w:val="center" w:pos="4419"/>
        <w:tab w:val="right" w:pos="8838"/>
      </w:tabs>
    </w:pPr>
  </w:style>
  <w:style w:type="character" w:customStyle="1" w:styleId="PiedepginaCar">
    <w:name w:val="Pie de página Car"/>
    <w:basedOn w:val="Fuentedeprrafopredeter"/>
    <w:link w:val="Piedepgina"/>
    <w:uiPriority w:val="99"/>
    <w:rsid w:val="00BE129F"/>
    <w:rPr>
      <w:rFonts w:ascii="Times New Roman" w:eastAsia="Times New Roman" w:hAnsi="Times New Roman" w:cs="Times New Roman"/>
      <w:kern w:val="0"/>
      <w:lang w:eastAsia="es-MX"/>
    </w:rPr>
  </w:style>
  <w:style w:type="paragraph" w:styleId="NormalWeb">
    <w:name w:val="Normal (Web)"/>
    <w:basedOn w:val="Normal"/>
    <w:uiPriority w:val="99"/>
    <w:unhideWhenUsed/>
    <w:rsid w:val="00100D02"/>
    <w:pPr>
      <w:spacing w:before="100" w:beforeAutospacing="1" w:after="100" w:afterAutospacing="1"/>
    </w:pPr>
  </w:style>
  <w:style w:type="character" w:styleId="Textoennegrita">
    <w:name w:val="Strong"/>
    <w:basedOn w:val="Fuentedeprrafopredeter"/>
    <w:uiPriority w:val="22"/>
    <w:qFormat/>
    <w:rsid w:val="00100D02"/>
    <w:rPr>
      <w:b/>
      <w:bCs/>
    </w:rPr>
  </w:style>
  <w:style w:type="character" w:styleId="Nmerodepgina">
    <w:name w:val="page number"/>
    <w:basedOn w:val="Fuentedeprrafopredeter"/>
    <w:uiPriority w:val="99"/>
    <w:semiHidden/>
    <w:unhideWhenUsed/>
    <w:rsid w:val="000B5FF5"/>
  </w:style>
  <w:style w:type="character" w:styleId="nfasis">
    <w:name w:val="Emphasis"/>
    <w:basedOn w:val="Fuentedeprrafopredeter"/>
    <w:uiPriority w:val="20"/>
    <w:qFormat/>
    <w:rsid w:val="0000658E"/>
    <w:rPr>
      <w:i/>
      <w:iCs/>
    </w:rPr>
  </w:style>
  <w:style w:type="paragraph" w:styleId="TtuloTDC">
    <w:name w:val="TOC Heading"/>
    <w:next w:val="Normal"/>
    <w:uiPriority w:val="39"/>
    <w:unhideWhenUsed/>
    <w:qFormat/>
    <w:rsid w:val="005B77B9"/>
    <w:pPr>
      <w:spacing w:before="480" w:line="276" w:lineRule="auto"/>
    </w:pPr>
    <w:rPr>
      <w:b/>
      <w:bCs/>
      <w:sz w:val="28"/>
      <w:szCs w:val="28"/>
    </w:rPr>
  </w:style>
  <w:style w:type="paragraph" w:styleId="TDC1">
    <w:name w:val="toc 1"/>
    <w:basedOn w:val="Normal"/>
    <w:next w:val="Normal"/>
    <w:autoRedefine/>
    <w:uiPriority w:val="39"/>
    <w:unhideWhenUsed/>
    <w:rsid w:val="005B77B9"/>
    <w:pPr>
      <w:spacing w:before="120"/>
    </w:pPr>
    <w:rPr>
      <w:rFonts w:asciiTheme="minorHAnsi" w:hAnsiTheme="minorHAnsi"/>
      <w:b/>
      <w:bCs/>
      <w:i/>
      <w:iCs/>
    </w:rPr>
  </w:style>
  <w:style w:type="paragraph" w:styleId="TDC2">
    <w:name w:val="toc 2"/>
    <w:basedOn w:val="Normal"/>
    <w:next w:val="Normal"/>
    <w:autoRedefine/>
    <w:uiPriority w:val="39"/>
    <w:semiHidden/>
    <w:unhideWhenUsed/>
    <w:rsid w:val="005B77B9"/>
    <w:pPr>
      <w:spacing w:before="120"/>
      <w:ind w:left="240"/>
    </w:pPr>
    <w:rPr>
      <w:rFonts w:asciiTheme="minorHAnsi" w:hAnsiTheme="minorHAnsi"/>
      <w:b/>
      <w:bCs/>
      <w:sz w:val="22"/>
      <w:szCs w:val="22"/>
    </w:rPr>
  </w:style>
  <w:style w:type="paragraph" w:styleId="TDC3">
    <w:name w:val="toc 3"/>
    <w:basedOn w:val="Normal"/>
    <w:next w:val="Normal"/>
    <w:autoRedefine/>
    <w:uiPriority w:val="39"/>
    <w:semiHidden/>
    <w:unhideWhenUsed/>
    <w:rsid w:val="005B77B9"/>
    <w:pPr>
      <w:ind w:left="480"/>
    </w:pPr>
    <w:rPr>
      <w:rFonts w:asciiTheme="minorHAnsi" w:hAnsiTheme="minorHAnsi"/>
      <w:sz w:val="20"/>
      <w:szCs w:val="20"/>
    </w:rPr>
  </w:style>
  <w:style w:type="paragraph" w:styleId="TDC4">
    <w:name w:val="toc 4"/>
    <w:basedOn w:val="Normal"/>
    <w:next w:val="Normal"/>
    <w:autoRedefine/>
    <w:uiPriority w:val="39"/>
    <w:semiHidden/>
    <w:unhideWhenUsed/>
    <w:rsid w:val="005B77B9"/>
    <w:pPr>
      <w:ind w:left="720"/>
    </w:pPr>
    <w:rPr>
      <w:rFonts w:asciiTheme="minorHAnsi" w:hAnsiTheme="minorHAnsi"/>
      <w:sz w:val="20"/>
      <w:szCs w:val="20"/>
    </w:rPr>
  </w:style>
  <w:style w:type="paragraph" w:styleId="TDC5">
    <w:name w:val="toc 5"/>
    <w:basedOn w:val="Normal"/>
    <w:next w:val="Normal"/>
    <w:autoRedefine/>
    <w:uiPriority w:val="39"/>
    <w:semiHidden/>
    <w:unhideWhenUsed/>
    <w:rsid w:val="005B77B9"/>
    <w:pPr>
      <w:ind w:left="960"/>
    </w:pPr>
    <w:rPr>
      <w:rFonts w:asciiTheme="minorHAnsi" w:hAnsiTheme="minorHAnsi"/>
      <w:sz w:val="20"/>
      <w:szCs w:val="20"/>
    </w:rPr>
  </w:style>
  <w:style w:type="paragraph" w:styleId="TDC6">
    <w:name w:val="toc 6"/>
    <w:basedOn w:val="Normal"/>
    <w:next w:val="Normal"/>
    <w:autoRedefine/>
    <w:uiPriority w:val="39"/>
    <w:semiHidden/>
    <w:unhideWhenUsed/>
    <w:rsid w:val="005B77B9"/>
    <w:pPr>
      <w:ind w:left="1200"/>
    </w:pPr>
    <w:rPr>
      <w:rFonts w:asciiTheme="minorHAnsi" w:hAnsiTheme="minorHAnsi"/>
      <w:sz w:val="20"/>
      <w:szCs w:val="20"/>
    </w:rPr>
  </w:style>
  <w:style w:type="paragraph" w:styleId="TDC7">
    <w:name w:val="toc 7"/>
    <w:basedOn w:val="Normal"/>
    <w:next w:val="Normal"/>
    <w:autoRedefine/>
    <w:uiPriority w:val="39"/>
    <w:semiHidden/>
    <w:unhideWhenUsed/>
    <w:rsid w:val="005B77B9"/>
    <w:pPr>
      <w:ind w:left="1440"/>
    </w:pPr>
    <w:rPr>
      <w:rFonts w:asciiTheme="minorHAnsi" w:hAnsiTheme="minorHAnsi"/>
      <w:sz w:val="20"/>
      <w:szCs w:val="20"/>
    </w:rPr>
  </w:style>
  <w:style w:type="paragraph" w:styleId="TDC8">
    <w:name w:val="toc 8"/>
    <w:basedOn w:val="Normal"/>
    <w:next w:val="Normal"/>
    <w:autoRedefine/>
    <w:uiPriority w:val="39"/>
    <w:semiHidden/>
    <w:unhideWhenUsed/>
    <w:rsid w:val="005B77B9"/>
    <w:pPr>
      <w:ind w:left="1680"/>
    </w:pPr>
    <w:rPr>
      <w:rFonts w:asciiTheme="minorHAnsi" w:hAnsiTheme="minorHAnsi"/>
      <w:sz w:val="20"/>
      <w:szCs w:val="20"/>
    </w:rPr>
  </w:style>
  <w:style w:type="paragraph" w:styleId="TDC9">
    <w:name w:val="toc 9"/>
    <w:basedOn w:val="Normal"/>
    <w:next w:val="Normal"/>
    <w:autoRedefine/>
    <w:uiPriority w:val="39"/>
    <w:semiHidden/>
    <w:unhideWhenUsed/>
    <w:rsid w:val="005B77B9"/>
    <w:pPr>
      <w:ind w:left="1920"/>
    </w:pPr>
    <w:rPr>
      <w:rFonts w:asciiTheme="minorHAnsi" w:hAnsiTheme="minorHAnsi"/>
      <w:sz w:val="20"/>
      <w:szCs w:val="20"/>
    </w:rPr>
  </w:style>
  <w:style w:type="character" w:styleId="Hipervnculo">
    <w:name w:val="Hyperlink"/>
    <w:basedOn w:val="Fuentedeprrafopredeter"/>
    <w:uiPriority w:val="99"/>
    <w:unhideWhenUsed/>
    <w:rsid w:val="005B77B9"/>
    <w:rPr>
      <w:color w:val="467886" w:themeColor="hyperlink"/>
      <w:u w:val="single"/>
    </w:r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rFonts w:ascii="Times New Roman" w:eastAsia="Times New Roman" w:hAnsi="Times New Roman" w:cs="Times New Roman"/>
      <w:kern w:val="0"/>
      <w:sz w:val="20"/>
      <w:szCs w:val="20"/>
      <w:lang w:eastAsia="es-MX"/>
    </w:rPr>
  </w:style>
  <w:style w:type="character" w:styleId="Refdecomentario">
    <w:name w:val="annotation reference"/>
    <w:basedOn w:val="Fuentedeprrafopredeter"/>
    <w:uiPriority w:val="99"/>
    <w:semiHidden/>
    <w:unhideWhenUsed/>
    <w:rPr>
      <w:sz w:val="16"/>
      <w:szCs w:val="16"/>
    </w:rPr>
  </w:style>
  <w:style w:type="table" w:styleId="Tablaconcuadrcula1clara">
    <w:name w:val="Grid Table 1 Light"/>
    <w:basedOn w:val="Tablanormal"/>
    <w:uiPriority w:val="46"/>
    <w:rsid w:val="006E62B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n">
    <w:name w:val="Revision"/>
    <w:hidden/>
    <w:uiPriority w:val="99"/>
    <w:semiHidden/>
    <w:rsid w:val="00F12117"/>
  </w:style>
  <w:style w:type="table" w:styleId="Tablanormal3">
    <w:name w:val="Plain Table 3"/>
    <w:basedOn w:val="Tablanormal"/>
    <w:uiPriority w:val="43"/>
    <w:rsid w:val="007733A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cuadrcula3">
    <w:name w:val="Grid Table 3"/>
    <w:basedOn w:val="Tablanormal"/>
    <w:uiPriority w:val="48"/>
    <w:rsid w:val="00D048C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Asuntodelcomentario">
    <w:name w:val="annotation subject"/>
    <w:basedOn w:val="Textocomentario"/>
    <w:next w:val="Textocomentario"/>
    <w:link w:val="AsuntodelcomentarioCar"/>
    <w:uiPriority w:val="99"/>
    <w:semiHidden/>
    <w:unhideWhenUsed/>
    <w:rsid w:val="00C176C3"/>
    <w:rPr>
      <w:b/>
      <w:bCs/>
    </w:rPr>
  </w:style>
  <w:style w:type="character" w:customStyle="1" w:styleId="AsuntodelcomentarioCar">
    <w:name w:val="Asunto del comentario Car"/>
    <w:basedOn w:val="TextocomentarioCar"/>
    <w:link w:val="Asuntodelcomentario"/>
    <w:uiPriority w:val="99"/>
    <w:semiHidden/>
    <w:rsid w:val="00C176C3"/>
    <w:rPr>
      <w:rFonts w:ascii="Times New Roman" w:eastAsia="Times New Roman" w:hAnsi="Times New Roman" w:cs="Times New Roman"/>
      <w:b/>
      <w:bCs/>
      <w:kern w:val="0"/>
      <w:sz w:val="20"/>
      <w:szCs w:val="20"/>
      <w:lang w:eastAsia="es-MX"/>
    </w:rPr>
  </w:style>
  <w:style w:type="character" w:customStyle="1" w:styleId="Mencionar1">
    <w:name w:val="Mencionar1"/>
    <w:basedOn w:val="Fuentedeprrafopredeter"/>
    <w:uiPriority w:val="99"/>
    <w:unhideWhenUsed/>
    <w:rsid w:val="00B734EB"/>
    <w:rPr>
      <w:color w:val="2B579A"/>
      <w:shd w:val="clear" w:color="auto" w:fill="E1DFDD"/>
    </w:rPr>
  </w:style>
  <w:style w:type="character" w:customStyle="1" w:styleId="normaltextrun">
    <w:name w:val="normaltextrun"/>
    <w:basedOn w:val="Fuentedeprrafopredeter"/>
    <w:rsid w:val="00FE2B60"/>
  </w:style>
  <w:style w:type="character" w:customStyle="1" w:styleId="eop">
    <w:name w:val="eop"/>
    <w:basedOn w:val="Fuentedeprrafopredeter"/>
    <w:rsid w:val="00FE2B60"/>
  </w:style>
  <w:style w:type="paragraph" w:styleId="Sinespaciado">
    <w:name w:val="No Spacing"/>
    <w:uiPriority w:val="1"/>
    <w:qFormat/>
    <w:rsid w:val="00424153"/>
  </w:style>
  <w:style w:type="character" w:styleId="Mencinsinresolver">
    <w:name w:val="Unresolved Mention"/>
    <w:basedOn w:val="Fuentedeprrafopredeter"/>
    <w:uiPriority w:val="99"/>
    <w:semiHidden/>
    <w:unhideWhenUsed/>
    <w:rsid w:val="004723F8"/>
    <w:rPr>
      <w:color w:val="605E5C"/>
      <w:shd w:val="clear" w:color="auto" w:fill="E1DFDD"/>
    </w:rPr>
  </w:style>
  <w:style w:type="character" w:styleId="Hipervnculovisitado">
    <w:name w:val="FollowedHyperlink"/>
    <w:basedOn w:val="Fuentedeprrafopredeter"/>
    <w:uiPriority w:val="99"/>
    <w:semiHidden/>
    <w:unhideWhenUsed/>
    <w:rsid w:val="008F36CD"/>
    <w:rPr>
      <w:color w:val="96607D" w:themeColor="followedHyperlink"/>
      <w:u w:val="single"/>
    </w:rPr>
  </w:style>
  <w:style w:type="paragraph" w:styleId="Subttulo">
    <w:name w:val="Subtitle"/>
    <w:basedOn w:val="Normal"/>
    <w:next w:val="Normal"/>
    <w:uiPriority w:val="11"/>
    <w:qFormat/>
    <w:pPr>
      <w:spacing w:after="160"/>
    </w:pPr>
    <w:rPr>
      <w:color w:val="595959"/>
      <w:sz w:val="28"/>
      <w:szCs w:val="28"/>
    </w:rPr>
  </w:style>
  <w:style w:type="table" w:customStyle="1" w:styleId="a">
    <w:basedOn w:val="TableNormal"/>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0">
    <w:basedOn w:val="TableNormal"/>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1">
    <w:basedOn w:val="TableNormal"/>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GEk5VBu1ZOzoO1qjWIsNx4Wtmw==">CgMxLjAaJwoBMBIiCiAIBCocCgtBQUFCbS1nX040axAIGgtBQUFCbS1nX040a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</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825A58A8A01239428BDF46D269BE4A48" ma:contentTypeVersion="14" ma:contentTypeDescription="Crear nuevo documento." ma:contentTypeScope="" ma:versionID="8c21660edf99c38d2739db350fc2e6fa">
  <xsd:schema xmlns:xsd="http://www.w3.org/2001/XMLSchema" xmlns:xs="http://www.w3.org/2001/XMLSchema" xmlns:p="http://schemas.microsoft.com/office/2006/metadata/properties" xmlns:ns2="688381b3-0721-49f0-84ba-b4e773943456" xmlns:ns3="79c4535b-afd8-47fa-b25d-20e30d943f7e" targetNamespace="http://schemas.microsoft.com/office/2006/metadata/properties" ma:root="true" ma:fieldsID="221d94611ecf626e76a35d6b85b6b829" ns2:_="" ns3:_="">
    <xsd:import namespace="688381b3-0721-49f0-84ba-b4e773943456"/>
    <xsd:import namespace="79c4535b-afd8-47fa-b25d-20e30d943f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Location" minOccurs="0"/>
                <xsd:element ref="ns2:Estad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381b3-0721-49f0-84ba-b4e7739434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28e52f89-96e1-423b-af1e-8751ac825b8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Estado" ma:index="21" nillable="true" ma:displayName="Estado" ma:format="Dropdown" ma:internalName="Estado">
      <xsd:simpleType>
        <xsd:restriction base="dms:Choice">
          <xsd:enumeration value="Revisada"/>
          <xsd:enumeration value="No aplica"/>
        </xsd:restriction>
      </xsd:simpleType>
    </xsd:element>
  </xsd:schema>
  <xsd:schema xmlns:xsd="http://www.w3.org/2001/XMLSchema" xmlns:xs="http://www.w3.org/2001/XMLSchema" xmlns:dms="http://schemas.microsoft.com/office/2006/documentManagement/types" xmlns:pc="http://schemas.microsoft.com/office/infopath/2007/PartnerControls" targetNamespace="79c4535b-afd8-47fa-b25d-20e30d943f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98900a1-2599-473e-9ab3-71472bb35639}" ma:internalName="TaxCatchAll" ma:showField="CatchAllData" ma:web="79c4535b-afd8-47fa-b25d-20e30d943f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88381b3-0721-49f0-84ba-b4e773943456">
      <Terms xmlns="http://schemas.microsoft.com/office/infopath/2007/PartnerControls"/>
    </lcf76f155ced4ddcb4097134ff3c332f>
    <TaxCatchAll xmlns="79c4535b-afd8-47fa-b25d-20e30d943f7e" xsi:nil="true"/>
    <Estado xmlns="688381b3-0721-49f0-84ba-b4e773943456"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4CCC45B-7A8E-4995-B7D2-1D802650B2D3}"/>
</file>

<file path=customXml/itemProps3.xml><?xml version="1.0" encoding="utf-8"?>
<ds:datastoreItem xmlns:ds="http://schemas.openxmlformats.org/officeDocument/2006/customXml" ds:itemID="{2E3C4BBE-AA9C-431E-BF23-E0B106588540}"/>
</file>

<file path=customXml/itemProps4.xml><?xml version="1.0" encoding="utf-8"?>
<ds:datastoreItem xmlns:ds="http://schemas.openxmlformats.org/officeDocument/2006/customXml" ds:itemID="{4EB93B21-2449-47E1-B8E4-34D8326E7C08}"/>
</file>

<file path=docProps/app.xml><?xml version="1.0" encoding="utf-8"?>
<Properties xmlns="http://schemas.openxmlformats.org/officeDocument/2006/extended-properties" xmlns:vt="http://schemas.openxmlformats.org/officeDocument/2006/docPropsVTypes">
  <Template>Normal</Template>
  <TotalTime>11</TotalTime>
  <Pages>1</Pages>
  <Words>5785</Words>
  <Characters>31823</Characters>
  <Application>Microsoft Office Word</Application>
  <DocSecurity>0</DocSecurity>
  <Lines>265</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Ileana Avalos</dc:creator>
  <cp:lastModifiedBy>Gregorio Wenceslao Apan Salcedo</cp:lastModifiedBy>
  <cp:revision>4</cp:revision>
  <dcterms:created xsi:type="dcterms:W3CDTF">2025-07-04T04:22:00Z</dcterms:created>
  <dcterms:modified xsi:type="dcterms:W3CDTF">2025-07-05T02:26:00Z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0x010100825A58A8A01239428BDF46D269BE4A48</vt:lpwstr>
  </property>
  <property fmtid="{D5CDD505-2E9C-101B-9397-08002B2CF9AE}" pid="3" name="MediaServiceImageTags">
    <vt:lpwstr/>
  </property>
</Properties>
</file>