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A87DD">
      <w:bookmarkStart w:id="0" w:name="_GoBack"/>
      <w:bookmarkEnd w:id="0"/>
    </w:p>
    <w:p w14:paraId="18FE6AB2"/>
    <w:p w14:paraId="60D3DBBA">
      <w:pPr>
        <w:spacing w:before="600" w:after="240"/>
        <w:jc w:val="center"/>
      </w:pPr>
      <w:r>
        <w:rPr>
          <w:rFonts w:hint="eastAsia" w:ascii="黑体" w:hAnsi="黑体" w:eastAsia="黑体" w:cs="黑体"/>
          <w:color w:val="2E75B6"/>
          <w:sz w:val="28"/>
          <w:szCs w:val="28"/>
          <w:lang w:eastAsia="zh-CN"/>
        </w:rPr>
        <w:t>金智维</w:t>
      </w:r>
      <w:r>
        <w:rPr>
          <w:rFonts w:ascii="黑体" w:hAnsi="黑体" w:eastAsia="黑体" w:cs="黑体"/>
          <w:color w:val="2E75B6"/>
          <w:sz w:val="28"/>
          <w:szCs w:val="28"/>
        </w:rPr>
        <w:t xml:space="preserve"> </w:t>
      </w:r>
    </w:p>
    <w:p w14:paraId="5C6E64AD">
      <w:pPr>
        <w:spacing w:before="240" w:after="0"/>
        <w:jc w:val="center"/>
      </w:pPr>
      <w:r>
        <w:rPr>
          <w:rFonts w:ascii="黑体" w:hAnsi="黑体" w:eastAsia="黑体" w:cs="黑体"/>
          <w:b/>
          <w:bCs/>
          <w:color w:val="1F3A5F"/>
          <w:sz w:val="64"/>
          <w:szCs w:val="64"/>
        </w:rPr>
        <w:t>智 慧 信 贷</w:t>
      </w:r>
    </w:p>
    <w:p w14:paraId="3C5F53F0">
      <w:pPr>
        <w:spacing w:before="240" w:after="480"/>
        <w:jc w:val="center"/>
      </w:pPr>
      <w:r>
        <w:rPr>
          <w:rFonts w:ascii="黑体" w:hAnsi="黑体" w:eastAsia="黑体" w:cs="黑体"/>
          <w:b/>
          <w:bCs/>
          <w:color w:val="1F3A5F"/>
          <w:sz w:val="64"/>
          <w:szCs w:val="64"/>
        </w:rPr>
        <w:t>智 能 体 平 台</w:t>
      </w:r>
    </w:p>
    <w:p w14:paraId="77EF1137">
      <w:pPr>
        <w:spacing w:before="100" w:after="100"/>
        <w:jc w:val="center"/>
      </w:pPr>
      <w:r>
        <w:rPr>
          <w:rFonts w:ascii="Arial" w:hAnsi="Arial" w:eastAsia="Arial" w:cs="Arial"/>
          <w:color w:val="00A99D"/>
          <w:sz w:val="18"/>
          <w:szCs w:val="18"/>
        </w:rPr>
        <w:t>━━━━━━━━━━━━━━━━━━━━━━━━━━━━━━━━━━━━</w:t>
      </w:r>
    </w:p>
    <w:p w14:paraId="2F23AA39">
      <w:pPr>
        <w:spacing w:before="240" w:after="120"/>
        <w:jc w:val="center"/>
      </w:pPr>
      <w:r>
        <w:rPr>
          <w:rFonts w:ascii="宋体" w:hAnsi="宋体" w:eastAsia="宋体" w:cs="宋体"/>
          <w:color w:val="5A6373"/>
          <w:sz w:val="26"/>
          <w:szCs w:val="26"/>
        </w:rPr>
        <w:t>面向银行业的小微 · 个体户 · 普惠信贷一体化解决方案</w:t>
      </w:r>
    </w:p>
    <w:p w14:paraId="2E4D7FE0">
      <w:pPr>
        <w:spacing w:before="120" w:after="480"/>
        <w:jc w:val="center"/>
      </w:pPr>
      <w:r>
        <w:rPr>
          <w:rFonts w:ascii="宋体" w:hAnsi="宋体" w:eastAsia="宋体" w:cs="宋体"/>
          <w:i/>
          <w:iCs/>
          <w:color w:val="8B95A3"/>
          <w:sz w:val="22"/>
          <w:szCs w:val="22"/>
        </w:rPr>
        <w:t>公共数据要素 × 五维信用评分 × AI Agent 自主尽调</w:t>
      </w:r>
    </w:p>
    <w:p w14:paraId="0E1BBF92">
      <w:pPr>
        <w:spacing w:before="600" w:after="0"/>
        <w:jc w:val="center"/>
      </w:pPr>
      <w:r>
        <w:rPr>
          <w:rFonts w:ascii="Times New Roman" w:hAnsi="Times New Roman" w:eastAsia="Times New Roman" w:cs="Times New Roman"/>
          <w:i/>
          <w:iCs/>
          <w:color w:val="1F3A5F"/>
          <w:sz w:val="28"/>
          <w:szCs w:val="28"/>
        </w:rPr>
        <w:t>Intelligent Credit Agentic Platform</w:t>
      </w:r>
    </w:p>
    <w:p w14:paraId="2D635F8F">
      <w:pPr>
        <w:spacing w:before="60" w:after="0"/>
        <w:jc w:val="center"/>
      </w:pPr>
      <w:r>
        <w:rPr>
          <w:rFonts w:ascii="Times New Roman" w:hAnsi="Times New Roman" w:eastAsia="Times New Roman" w:cs="Times New Roman"/>
          <w:i/>
          <w:iCs/>
          <w:color w:val="5A6373"/>
          <w:sz w:val="20"/>
          <w:szCs w:val="20"/>
        </w:rPr>
        <w:t>for Inclusive Financial Services in Banking Industry</w:t>
      </w:r>
    </w:p>
    <w:p w14:paraId="067ADA24"/>
    <w:p w14:paraId="72668C81"/>
    <w:p w14:paraId="7605E829"/>
    <w:p w14:paraId="686F0354">
      <w:pPr>
        <w:spacing w:before="240" w:after="60"/>
        <w:jc w:val="center"/>
      </w:pPr>
      <w:r>
        <w:rPr>
          <w:rFonts w:ascii="黑体" w:hAnsi="黑体" w:eastAsia="黑体" w:cs="黑体"/>
          <w:b/>
          <w:bCs/>
          <w:color w:val="1F3A5F"/>
          <w:sz w:val="22"/>
          <w:szCs w:val="22"/>
        </w:rPr>
        <w:t>产品白皮书 · v1.0</w:t>
      </w:r>
    </w:p>
    <w:p w14:paraId="00B7BF4A">
      <w:pPr>
        <w:spacing w:before="60" w:after="60"/>
        <w:jc w:val="center"/>
      </w:pPr>
      <w:r>
        <w:rPr>
          <w:rFonts w:hint="eastAsia" w:ascii="黑体" w:hAnsi="黑体" w:eastAsia="黑体" w:cs="黑体"/>
          <w:color w:val="5A6373"/>
          <w:sz w:val="20"/>
          <w:szCs w:val="20"/>
          <w:lang w:val="en-US" w:eastAsia="zh-CN"/>
        </w:rPr>
        <w:t>珠海金智维人工智能股份</w:t>
      </w:r>
      <w:r>
        <w:rPr>
          <w:rFonts w:ascii="黑体" w:hAnsi="黑体" w:eastAsia="黑体" w:cs="黑体"/>
          <w:color w:val="5A6373"/>
          <w:sz w:val="20"/>
          <w:szCs w:val="20"/>
        </w:rPr>
        <w:t>有限公司</w:t>
      </w:r>
    </w:p>
    <w:p w14:paraId="08532802">
      <w:pPr>
        <w:spacing w:before="0" w:after="60"/>
        <w:jc w:val="center"/>
      </w:pPr>
      <w:r>
        <w:rPr>
          <w:rFonts w:ascii="Arial" w:hAnsi="Arial" w:eastAsia="Arial" w:cs="Arial"/>
          <w:i/>
          <w:iCs/>
          <w:color w:val="8B95A3"/>
          <w:sz w:val="18"/>
          <w:szCs w:val="18"/>
        </w:rPr>
        <w:t xml:space="preserve">Kingsware </w:t>
      </w:r>
    </w:p>
    <w:p w14:paraId="48E14940">
      <w:r>
        <w:br w:type="page"/>
      </w:r>
    </w:p>
    <w:p w14:paraId="4E2B8C31">
      <w:pPr>
        <w:spacing w:before="240" w:after="480"/>
        <w:jc w:val="left"/>
      </w:pPr>
      <w:r>
        <w:rPr>
          <w:rFonts w:ascii="黑体" w:hAnsi="黑体" w:eastAsia="黑体" w:cs="黑体"/>
          <w:b/>
          <w:bCs/>
          <w:color w:val="1F3A5F"/>
          <w:sz w:val="36"/>
          <w:szCs w:val="36"/>
        </w:rPr>
        <w:t>致 银 行 业 同 仁</w:t>
      </w:r>
    </w:p>
    <w:p w14:paraId="5F64880C">
      <w:pPr>
        <w:spacing w:before="0" w:after="24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2"/>
          <w:szCs w:val="22"/>
        </w:rPr>
        <w:t>尊敬的银行业同仁:</w:t>
      </w:r>
    </w:p>
    <w:p w14:paraId="2149278B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当我们站在 2026 年回望中国普惠金融的发展历程,会发现这是一个由政策、技术和需求三股力量共同重塑的时代。中央经济工作会议把'金融五篇大文章'写入施政纲领,银保监会将普惠贷款增速、户均贷款金额、不良率等指标纳入对银行的核心考核——'敢贷、愿贷、能贷、会贷',从一个倡议成为了一项硬指标。</w:t>
      </w:r>
    </w:p>
    <w:p w14:paraId="149B8D03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但银行同仁们都清楚:做小微和个体户的授信,从来不缺意愿,缺的是工具。一笔 50 万的小微贷款,客户经理需要 2-3 天的尽调;一笔 10 万的个体户经营贷,户均成本接近收益的临界点;一线分支行同时面对 35 万客户的批量需求时,传统的人工尽调模式根本撑不起来。</w:t>
      </w:r>
    </w:p>
    <w:p w14:paraId="5E36380D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过去十年,银行业尝试过评分卡、过尽调系统、过线上审批中台,这些工具确实提高了效率,但本质上还是'让人做得更快'——而真正的变革,需要让 AI 能像信贷员一样,自主完成从数据采集、风险识别、综合判断到出具尽调报告的全流程。这就是 AI Agent(智能体)技术能够带来的根本性改变。</w:t>
      </w:r>
    </w:p>
    <w:p w14:paraId="11D0F0D9">
      <w:pPr>
        <w:spacing w:before="80" w:after="80" w:line="340" w:lineRule="auto"/>
        <w:jc w:val="both"/>
      </w:pPr>
      <w:r>
        <w:rPr>
          <w:rFonts w:hint="eastAsia" w:cs="宋体"/>
          <w:b w:val="0"/>
          <w:bCs w:val="0"/>
          <w:i w:val="0"/>
          <w:iCs w:val="0"/>
          <w:color w:val="000000"/>
          <w:sz w:val="21"/>
          <w:szCs w:val="21"/>
          <w:lang w:eastAsia="zh-CN"/>
        </w:rPr>
        <w:t>金智维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(Inside AI)从 2018 年开始服务银行业的数字化转型,从最早的 RPA 流程自动化,到智能体(Agent)平台,再到现在的智慧信贷智能体平台,我们一直在做一件事:让科技真正解决银行业务的关键痛点,而非锦上添花。</w:t>
      </w:r>
    </w:p>
    <w:p w14:paraId="45DD8607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本白皮书是我们对自己十多年实践经验的系统性梳理,也是我们对未来三年银行小微/个体户授信业务形态的预判。我们希望通过这份文档,帮助每一位银行业的决策者、风控负责人、科技负责人,更深入地理解'AI Agent + 公共数据要素'这套组合拳能为银行带来什么——更重要的是,它如何在合规可控的前提下落地。</w:t>
      </w:r>
    </w:p>
    <w:p w14:paraId="11A4D68A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i w:val="0"/>
          <w:iCs w:val="0"/>
          <w:color w:val="1F3A5F"/>
          <w:sz w:val="21"/>
          <w:szCs w:val="21"/>
        </w:rPr>
        <w:t>我们的承诺很朴素:不替代银行的判断,而是让银行的每一次判断都建立在更完整的数据、更严谨的模型和更可解释的过程之上。</w:t>
      </w:r>
    </w:p>
    <w:p w14:paraId="464235A3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期待与您共同推动中国普惠金融的高质量发展。</w:t>
      </w:r>
    </w:p>
    <w:p w14:paraId="563E2708"/>
    <w:p w14:paraId="61C00235">
      <w:pPr>
        <w:spacing w:before="240" w:after="60"/>
        <w:jc w:val="right"/>
        <w:rPr>
          <w:rFonts w:hint="eastAsia" w:eastAsia="黑体"/>
          <w:lang w:eastAsia="zh-CN"/>
        </w:rPr>
      </w:pPr>
      <w:r>
        <w:rPr>
          <w:rFonts w:hint="eastAsia" w:ascii="黑体" w:hAnsi="黑体" w:eastAsia="黑体" w:cs="黑体"/>
          <w:color w:val="1F3A5F"/>
          <w:sz w:val="22"/>
          <w:szCs w:val="22"/>
          <w:lang w:eastAsia="zh-CN"/>
        </w:rPr>
        <w:t>金智维</w:t>
      </w:r>
    </w:p>
    <w:p w14:paraId="7926402E">
      <w:pPr>
        <w:spacing w:before="0" w:after="60"/>
        <w:jc w:val="right"/>
      </w:pPr>
      <w:r>
        <w:rPr>
          <w:rFonts w:ascii="宋体" w:hAnsi="宋体" w:eastAsia="宋体" w:cs="宋体"/>
          <w:i/>
          <w:iCs/>
          <w:color w:val="5A6373"/>
          <w:sz w:val="20"/>
          <w:szCs w:val="20"/>
        </w:rPr>
        <w:t>二〇二六年 春</w:t>
      </w:r>
    </w:p>
    <w:p w14:paraId="35EEE8A2">
      <w:r>
        <w:br w:type="page"/>
      </w:r>
    </w:p>
    <w:p w14:paraId="7C34F7AA">
      <w:pPr>
        <w:spacing w:before="240" w:after="480"/>
        <w:jc w:val="center"/>
      </w:pPr>
      <w:r>
        <w:rPr>
          <w:rFonts w:ascii="黑体" w:hAnsi="黑体" w:eastAsia="黑体" w:cs="黑体"/>
          <w:b/>
          <w:bCs/>
          <w:color w:val="1F3A5F"/>
          <w:sz w:val="40"/>
          <w:szCs w:val="40"/>
        </w:rPr>
        <w:t>目     录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6638"/>
        <w:gridCol w:w="1500"/>
      </w:tblGrid>
      <w:tr w14:paraId="25A00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99F7A0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4051B5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章节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ED9FDF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页码</w:t>
            </w:r>
          </w:p>
        </w:tc>
      </w:tr>
      <w:tr w14:paraId="3C2F6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E7BF13">
            <w:pPr>
              <w:spacing w:before="40" w:after="40" w:line="280" w:lineRule="auto"/>
              <w:jc w:val="left"/>
            </w:pP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C9E69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致银行业同仁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39AB3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002</w:t>
            </w:r>
          </w:p>
        </w:tc>
      </w:tr>
      <w:tr w14:paraId="2BA37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F141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第一篇</w:t>
            </w: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11FE6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行业洞察 — 普惠金融时代的银行机遇与挑战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B9C6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005</w:t>
            </w:r>
          </w:p>
        </w:tc>
      </w:tr>
      <w:tr w14:paraId="29A0C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DD3A35">
            <w:pPr>
              <w:spacing w:before="40" w:after="40" w:line="280" w:lineRule="auto"/>
              <w:jc w:val="left"/>
            </w:pP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BFF6F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  1.1  普惠金融的'中国时刻'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69ADB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006</w:t>
            </w:r>
          </w:p>
        </w:tc>
      </w:tr>
      <w:tr w14:paraId="13C64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CF4281">
            <w:pPr>
              <w:spacing w:before="40" w:after="40" w:line="280" w:lineRule="auto"/>
              <w:jc w:val="left"/>
            </w:pP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9E2E8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  1.2  银行小微/个体户授信的三大痛点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824AF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008</w:t>
            </w:r>
          </w:p>
        </w:tc>
      </w:tr>
      <w:tr w14:paraId="6964B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DC304">
            <w:pPr>
              <w:spacing w:before="40" w:after="40" w:line="280" w:lineRule="auto"/>
              <w:jc w:val="left"/>
            </w:pP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B00FD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  1.3  数据要素改革:公共数据进入金融的窗口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851BB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010</w:t>
            </w:r>
          </w:p>
        </w:tc>
      </w:tr>
      <w:tr w14:paraId="67970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1B62F1">
            <w:pPr>
              <w:spacing w:before="40" w:after="40" w:line="280" w:lineRule="auto"/>
              <w:jc w:val="left"/>
            </w:pP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13ADE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  1.4  AI Agent 技术成熟:从大模型到数字员工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3F25A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011</w:t>
            </w:r>
          </w:p>
        </w:tc>
      </w:tr>
      <w:tr w14:paraId="0B793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12FB83">
            <w:pPr>
              <w:spacing w:before="40" w:after="40" w:line="280" w:lineRule="auto"/>
              <w:jc w:val="left"/>
            </w:pP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5387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  1.5  监管态度:鼓励科技与合规并重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F460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012</w:t>
            </w:r>
          </w:p>
        </w:tc>
      </w:tr>
      <w:tr w14:paraId="7652C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9682AF">
            <w:pPr>
              <w:spacing w:before="40" w:after="40" w:line="280" w:lineRule="auto"/>
              <w:jc w:val="left"/>
            </w:pP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EE02E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  1.6  行业展望:未来三年五个趋势判断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9B45D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013</w:t>
            </w:r>
          </w:p>
        </w:tc>
      </w:tr>
      <w:tr w14:paraId="2143A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995E3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第二篇</w:t>
            </w: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9966F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产品定位与价值主张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FA867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014</w:t>
            </w:r>
          </w:p>
        </w:tc>
      </w:tr>
      <w:tr w14:paraId="58914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058BFF">
            <w:pPr>
              <w:spacing w:before="40" w:after="40" w:line="280" w:lineRule="auto"/>
              <w:jc w:val="left"/>
            </w:pP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4D940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  2.1  产品定位:智慧信贷智能体平台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3B77F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015</w:t>
            </w:r>
          </w:p>
        </w:tc>
      </w:tr>
      <w:tr w14:paraId="585F3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B46D44">
            <w:pPr>
              <w:spacing w:before="40" w:after="40" w:line="280" w:lineRule="auto"/>
              <w:jc w:val="left"/>
            </w:pP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B959A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  2.2  核心价值:降本 · 提效 · 控险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45793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016</w:t>
            </w:r>
          </w:p>
        </w:tc>
      </w:tr>
      <w:tr w14:paraId="4976F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99D4A">
            <w:pPr>
              <w:spacing w:before="40" w:after="40" w:line="280" w:lineRule="auto"/>
              <w:jc w:val="left"/>
            </w:pP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97760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  2.3  传统方案 vs 智能体方案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0B15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017</w:t>
            </w:r>
          </w:p>
        </w:tc>
      </w:tr>
      <w:tr w14:paraId="73C71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DACAD3">
            <w:pPr>
              <w:spacing w:before="40" w:after="40" w:line="280" w:lineRule="auto"/>
              <w:jc w:val="left"/>
            </w:pP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61B5B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  2.4  与同类智能体平台对比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6A60D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018</w:t>
            </w:r>
          </w:p>
        </w:tc>
      </w:tr>
      <w:tr w14:paraId="1BCF4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AD48C">
            <w:pPr>
              <w:spacing w:before="40" w:after="40" w:line="280" w:lineRule="auto"/>
              <w:jc w:val="left"/>
            </w:pP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8B30A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  2.5  ROI 测算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FD604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019</w:t>
            </w:r>
          </w:p>
        </w:tc>
      </w:tr>
      <w:tr w14:paraId="66AAD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80021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第三篇</w:t>
            </w: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A8AB5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产品架构与技术能力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25E78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020</w:t>
            </w:r>
          </w:p>
        </w:tc>
      </w:tr>
      <w:tr w14:paraId="36275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62CD11">
            <w:pPr>
              <w:spacing w:before="40" w:after="40" w:line="280" w:lineRule="auto"/>
              <w:jc w:val="left"/>
            </w:pP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A512B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  3.1  四层架构总览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406E4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021</w:t>
            </w:r>
          </w:p>
        </w:tc>
      </w:tr>
      <w:tr w14:paraId="35595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4054A8">
            <w:pPr>
              <w:spacing w:before="40" w:after="40" w:line="280" w:lineRule="auto"/>
              <w:jc w:val="left"/>
            </w:pP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CD56D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  3.2  数据层:公共数据要素底座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E4988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022</w:t>
            </w:r>
          </w:p>
        </w:tc>
      </w:tr>
      <w:tr w14:paraId="60C6B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CF612">
            <w:pPr>
              <w:spacing w:before="40" w:after="40" w:line="280" w:lineRule="auto"/>
              <w:jc w:val="left"/>
            </w:pP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84558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  3.3  模型层:五维评分 + 五对交叉验证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7B5B2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024</w:t>
            </w:r>
          </w:p>
        </w:tc>
      </w:tr>
      <w:tr w14:paraId="5AF75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205F52">
            <w:pPr>
              <w:spacing w:before="40" w:after="40" w:line="280" w:lineRule="auto"/>
              <w:jc w:val="left"/>
            </w:pP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E7104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  3.4  Agent层:18+8 个智能体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B1A41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026</w:t>
            </w:r>
          </w:p>
        </w:tc>
      </w:tr>
      <w:tr w14:paraId="68FF4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5DD40">
            <w:pPr>
              <w:spacing w:before="40" w:after="40" w:line="280" w:lineRule="auto"/>
              <w:jc w:val="left"/>
            </w:pP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A02A6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  3.5  应用层:贷前/贷中/贷后全周期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8B0A5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028</w:t>
            </w:r>
          </w:p>
        </w:tc>
      </w:tr>
      <w:tr w14:paraId="062B3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54FD6E">
            <w:pPr>
              <w:spacing w:before="40" w:after="40" w:line="280" w:lineRule="auto"/>
              <w:jc w:val="left"/>
            </w:pP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D1AA1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  3.6  </w:t>
            </w:r>
            <w:r>
              <w:rPr>
                <w:rFonts w:hint="eastAsia" w:cs="宋体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智慧运营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方法论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FC0CF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029</w:t>
            </w:r>
          </w:p>
        </w:tc>
      </w:tr>
      <w:tr w14:paraId="4A2B9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CDD9E5">
            <w:pPr>
              <w:spacing w:before="40" w:after="40" w:line="280" w:lineRule="auto"/>
              <w:jc w:val="left"/>
            </w:pP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F098E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  3.7  产品发展路线图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2A98B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030</w:t>
            </w:r>
          </w:p>
        </w:tc>
      </w:tr>
      <w:tr w14:paraId="343FC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C81CE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第四篇</w:t>
            </w: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F7A7D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合规与安全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51621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030</w:t>
            </w:r>
          </w:p>
        </w:tc>
      </w:tr>
      <w:tr w14:paraId="1F18E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702880">
            <w:pPr>
              <w:spacing w:before="40" w:after="40" w:line="280" w:lineRule="auto"/>
              <w:jc w:val="left"/>
            </w:pP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C3457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  4.1  监管框架解读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667C8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031</w:t>
            </w:r>
          </w:p>
        </w:tc>
      </w:tr>
      <w:tr w14:paraId="5EE00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43723C">
            <w:pPr>
              <w:spacing w:before="40" w:after="40" w:line="280" w:lineRule="auto"/>
              <w:jc w:val="left"/>
            </w:pP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53EB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  4.2  数据合规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D994B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032</w:t>
            </w:r>
          </w:p>
        </w:tc>
      </w:tr>
      <w:tr w14:paraId="7420E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358B5">
            <w:pPr>
              <w:spacing w:before="40" w:after="40" w:line="280" w:lineRule="auto"/>
              <w:jc w:val="left"/>
            </w:pP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45474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  4.3  模型合规与可解释性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2CAA6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033</w:t>
            </w:r>
          </w:p>
        </w:tc>
      </w:tr>
      <w:tr w14:paraId="156BA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C649FB">
            <w:pPr>
              <w:spacing w:before="40" w:after="40" w:line="280" w:lineRule="auto"/>
              <w:jc w:val="left"/>
            </w:pP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14DDD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  4.4  信息安全与本地化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35C87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034</w:t>
            </w:r>
          </w:p>
        </w:tc>
      </w:tr>
      <w:tr w14:paraId="306FA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BD4ACB">
            <w:pPr>
              <w:spacing w:before="40" w:after="40" w:line="280" w:lineRule="auto"/>
              <w:jc w:val="left"/>
            </w:pP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592DC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  4.5  SDAFI Audit-by-Design 优势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CC526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035</w:t>
            </w:r>
          </w:p>
        </w:tc>
      </w:tr>
      <w:tr w14:paraId="57C19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1C34D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第五篇</w:t>
            </w: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3C3E2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行业案例与标杆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E732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035</w:t>
            </w:r>
          </w:p>
        </w:tc>
      </w:tr>
      <w:tr w14:paraId="2F06B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84164D">
            <w:pPr>
              <w:spacing w:before="40" w:after="40" w:line="280" w:lineRule="auto"/>
              <w:jc w:val="left"/>
            </w:pP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8C975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  5.1  某省级普惠金融示范区批量授信项目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93564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035</w:t>
            </w:r>
          </w:p>
        </w:tc>
      </w:tr>
      <w:tr w14:paraId="727AA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E5BAD">
            <w:pPr>
              <w:spacing w:before="40" w:after="40" w:line="280" w:lineRule="auto"/>
              <w:jc w:val="left"/>
            </w:pP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30AFF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 xml:space="preserve">  5.2  其他银行业落地案例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EEFD7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037</w:t>
            </w:r>
          </w:p>
        </w:tc>
      </w:tr>
      <w:tr w14:paraId="2ABEF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4B3D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第六篇</w:t>
            </w: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107EC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实施路径与服务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1A5F3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038</w:t>
            </w:r>
          </w:p>
        </w:tc>
      </w:tr>
      <w:tr w14:paraId="3B30E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540E8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第七篇</w:t>
            </w:r>
          </w:p>
        </w:tc>
        <w:tc>
          <w:tcPr>
            <w:tcW w:w="6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148D8E">
            <w:pPr>
              <w:spacing w:before="40" w:after="40" w:line="28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关于</w:t>
            </w:r>
            <w:r>
              <w:rPr>
                <w:rFonts w:hint="eastAsia" w:cs="宋体"/>
                <w:b w:val="0"/>
                <w:bCs w:val="0"/>
                <w:color w:val="000000"/>
                <w:sz w:val="20"/>
                <w:szCs w:val="20"/>
                <w:lang w:eastAsia="zh-CN"/>
              </w:rPr>
              <w:t>金智维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E8524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040</w:t>
            </w:r>
          </w:p>
        </w:tc>
      </w:tr>
    </w:tbl>
    <w:p w14:paraId="4EBF75C0">
      <w:pPr>
        <w:pStyle w:val="2"/>
        <w:pageBreakBefore/>
        <w:spacing w:before="480" w:after="240"/>
      </w:pPr>
      <w:r>
        <w:rPr>
          <w:rFonts w:ascii="黑体" w:hAnsi="黑体" w:eastAsia="黑体" w:cs="黑体"/>
          <w:b/>
          <w:bCs/>
          <w:color w:val="1F3A5F"/>
          <w:sz w:val="40"/>
          <w:szCs w:val="40"/>
        </w:rPr>
        <w:t>第一篇  行业洞察</w:t>
      </w:r>
    </w:p>
    <w:p w14:paraId="6F3A0707">
      <w:pPr>
        <w:spacing w:before="0" w:after="480"/>
        <w:jc w:val="center"/>
      </w:pPr>
      <w:r>
        <w:rPr>
          <w:rFonts w:ascii="黑体" w:hAnsi="黑体" w:eastAsia="黑体" w:cs="黑体"/>
          <w:i/>
          <w:iCs/>
          <w:color w:val="5A6373"/>
          <w:sz w:val="24"/>
          <w:szCs w:val="24"/>
        </w:rPr>
        <w:t>普惠金融时代的银行机遇与挑战</w:t>
      </w:r>
    </w:p>
    <w:p w14:paraId="7FD9D696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1.1  普惠金融的'中国时刻'</w:t>
      </w:r>
    </w:p>
    <w:p w14:paraId="619611AA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中国正进入普惠金融发展的关键阶段。这不是一句口号,而是由一系列政策、市场和技术变量共同推动的历史必然。</w:t>
      </w:r>
    </w:p>
    <w:p w14:paraId="0A00E6FE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政策层面:'金融五篇大文章'落地</w:t>
      </w:r>
    </w:p>
    <w:p w14:paraId="68259214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2024 年中央金融工作会议明确提出做好'科技金融、绿色金融、普惠金融、养老金融、数字金融'五篇大文章。其中,普惠金融被定位为'解决发展不平衡不充分问题的金融抓手'。这一表述把普惠金融从'锦上添花'提升到了'雪中送炭'的层级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3E5FA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single" w:color="B8941F" w:sz="24" w:space="0"/>
              <w:bottom w:val="nil"/>
              <w:right w:val="nil"/>
            </w:tcBorders>
            <w:shd w:val="clear" w:color="auto" w:fill="FAF7EE"/>
            <w:tcMar>
              <w:top w:w="240" w:type="dxa"/>
              <w:left w:w="320" w:type="dxa"/>
              <w:bottom w:w="240" w:type="dxa"/>
              <w:right w:w="240" w:type="dxa"/>
            </w:tcMar>
          </w:tcPr>
          <w:p w14:paraId="2D29D5DE">
            <w:pPr>
              <w:spacing w:before="0" w:after="80" w:line="340" w:lineRule="auto"/>
              <w:jc w:val="both"/>
            </w:pPr>
            <w:r>
              <w:rPr>
                <w:rFonts w:ascii="宋体" w:hAnsi="宋体" w:eastAsia="宋体" w:cs="宋体"/>
                <w:b w:val="0"/>
                <w:bCs w:val="0"/>
                <w:i/>
                <w:iCs/>
                <w:color w:val="5A6373"/>
                <w:sz w:val="22"/>
                <w:szCs w:val="22"/>
              </w:rPr>
              <w:t>切实做好科技金融、绿色金融、普惠金融、养老金融、数字金融五篇大文章……要支持中小银行发展普惠金融,做到'敢贷、愿贷、能贷、会贷'。</w:t>
            </w:r>
          </w:p>
          <w:p w14:paraId="74F8C53F">
            <w:pPr>
              <w:spacing w:before="0" w:after="0" w:line="340" w:lineRule="auto"/>
              <w:jc w:val="righ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8B95A3"/>
                <w:sz w:val="19"/>
                <w:szCs w:val="19"/>
              </w:rPr>
              <w:t>— 中央金融工作会议精神</w:t>
            </w:r>
          </w:p>
        </w:tc>
      </w:tr>
    </w:tbl>
    <w:p w14:paraId="72932AA1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在监管层面,银保监会将普惠小微贷款增速、户均贷款金额、不良率等指标纳入了对各级商业银行的MPA(宏观审慎评估)考核。'两增两控'(普惠小微贷款增速不低于各项贷款增速、户数不低于上年同期户数,合理控制贷款增速及不良率)从倡议性指标变成了硬约束。</w:t>
      </w:r>
    </w:p>
    <w:p w14:paraId="793965D0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地方层面,多个省市推出了与普惠金融配套的财政贴息、风险补偿、再担保等政策工具,降低了银行做小微的边际成本。例如广西对地方法人银行投放小微贷款给予 0.5%-1.5% 的贴息;广东设立了 100 亿元规模的小微企业风险补偿基金。</w:t>
      </w:r>
    </w:p>
    <w:p w14:paraId="7522C688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市场层面:三大客群的真实需求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12"/>
        <w:gridCol w:w="3213"/>
        <w:gridCol w:w="3213"/>
      </w:tblGrid>
      <w:tr w14:paraId="6005D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12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DCE6F1"/>
            <w:tcMar>
              <w:top w:w="240" w:type="dxa"/>
              <w:left w:w="200" w:type="dxa"/>
              <w:bottom w:w="240" w:type="dxa"/>
              <w:right w:w="200" w:type="dxa"/>
            </w:tcMar>
            <w:vAlign w:val="top"/>
          </w:tcPr>
          <w:p w14:paraId="3CF23A25">
            <w:pPr>
              <w:spacing w:before="0" w:after="10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1F3A5F"/>
                <w:sz w:val="28"/>
                <w:szCs w:val="28"/>
              </w:rPr>
              <w:t>🏭</w:t>
            </w:r>
          </w:p>
          <w:p w14:paraId="74C59D98">
            <w:pPr>
              <w:spacing w:before="0" w:after="10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1F3A5F"/>
                <w:sz w:val="22"/>
                <w:szCs w:val="22"/>
              </w:rPr>
              <w:t>中小微企业</w:t>
            </w:r>
          </w:p>
          <w:p w14:paraId="0A994A39">
            <w:pPr>
              <w:spacing w:before="0" w:after="0"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5A6373"/>
                <w:sz w:val="19"/>
                <w:szCs w:val="19"/>
              </w:rPr>
              <w:t>我国注册中小微企业超 5,200 万家,贡献了全国 60% 以上的 GDP、50% 以上的税收,但获得正规银行授信的比例不足 30%。</w:t>
            </w:r>
          </w:p>
        </w:tc>
        <w:tc>
          <w:tcPr>
            <w:tcW w:w="3212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CEFE0"/>
            <w:tcMar>
              <w:top w:w="240" w:type="dxa"/>
              <w:left w:w="200" w:type="dxa"/>
              <w:bottom w:w="240" w:type="dxa"/>
              <w:right w:w="200" w:type="dxa"/>
            </w:tcMar>
            <w:vAlign w:val="top"/>
          </w:tcPr>
          <w:p w14:paraId="6D0AF5BC">
            <w:pPr>
              <w:spacing w:before="0" w:after="10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E8843C"/>
                <w:sz w:val="28"/>
                <w:szCs w:val="28"/>
              </w:rPr>
              <w:t>🏪</w:t>
            </w:r>
          </w:p>
          <w:p w14:paraId="7B71A2D2">
            <w:pPr>
              <w:spacing w:before="0" w:after="10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E8843C"/>
                <w:sz w:val="22"/>
                <w:szCs w:val="22"/>
              </w:rPr>
              <w:t>个体工商户</w:t>
            </w:r>
          </w:p>
          <w:p w14:paraId="6FCE35F7">
            <w:pPr>
              <w:spacing w:before="0" w:after="0"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5A6373"/>
                <w:sz w:val="19"/>
                <w:szCs w:val="19"/>
              </w:rPr>
              <w:t>全国登记个体工商户超过 1.24 亿户,从业人员近 3 亿。这一群体是普惠金融最后一公里,也是金融服务最难覆盖的群体。</w:t>
            </w:r>
          </w:p>
        </w:tc>
        <w:tc>
          <w:tcPr>
            <w:tcW w:w="3212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D9F2EC"/>
            <w:tcMar>
              <w:top w:w="240" w:type="dxa"/>
              <w:left w:w="200" w:type="dxa"/>
              <w:bottom w:w="240" w:type="dxa"/>
              <w:right w:w="200" w:type="dxa"/>
            </w:tcMar>
            <w:vAlign w:val="top"/>
          </w:tcPr>
          <w:p w14:paraId="16D8EB20">
            <w:pPr>
              <w:spacing w:before="0" w:after="10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A99D"/>
                <w:sz w:val="28"/>
                <w:szCs w:val="28"/>
              </w:rPr>
              <w:t>👨‍🌾</w:t>
            </w:r>
          </w:p>
          <w:p w14:paraId="2A90F804">
            <w:pPr>
              <w:spacing w:before="0" w:after="10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A99D"/>
                <w:sz w:val="22"/>
                <w:szCs w:val="22"/>
              </w:rPr>
              <w:t>新型农业经营主体</w:t>
            </w:r>
          </w:p>
          <w:p w14:paraId="19A50E32">
            <w:pPr>
              <w:spacing w:before="0" w:after="0"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5A6373"/>
                <w:sz w:val="19"/>
                <w:szCs w:val="19"/>
              </w:rPr>
              <w:t>家庭农场、合作社、农业产业化龙头等新型主体超 600 万家,'乡村振兴'战略下成为信贷供给重点,但传统抵押物缺失。</w:t>
            </w:r>
          </w:p>
        </w:tc>
      </w:tr>
    </w:tbl>
    <w:p w14:paraId="53F11C96"/>
    <w:p w14:paraId="5128BED4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这三大客群有一个共同特征:</w:t>
      </w: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单笔授信金额小、笔数多、信息不对称严重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。这正是传统银行授信流程难以高效覆盖的盲区,也正是 AI Agent 技术能够发挥根本性作用的领域。</w:t>
      </w:r>
    </w:p>
    <w:p w14:paraId="5712E095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1.2  银行小微 / 个体户授信的三大痛点</w:t>
      </w:r>
    </w:p>
    <w:p w14:paraId="6D39374A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我们与超过 30 家国有大行、股份制银行、城商行、农商行的小微金融部、普惠金融部进行过深度调研,把痛点凝练为三个层面:</w:t>
      </w:r>
    </w:p>
    <w:p w14:paraId="4A498499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痛点一:成本高 — '一笔小微贷款的尽调比一笔大公司贷款还麻烦'</w:t>
      </w:r>
    </w:p>
    <w:p w14:paraId="47263ABC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一线客户经理普遍反馈,做一笔小微授信尽调,需要的步骤一点不比公司贷款少:实地走访、采集证照、整理流水、查询征信、撰写报告……每一步都需要人工。一份完整的小微尽调报告,客户经理平均需要 2-3 天工作时间。</w:t>
      </w:r>
    </w:p>
    <w:p w14:paraId="2D1506C7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但这笔贷款的金额却往往只有几十万到一两百万——人均产出严重失衡。某城商行小微部负责人坦言:'我们要养一支 50 人的小微客户经理团队,但他们一年人均能办的小微贷款不到 80 户,户均贡献利润不到 5,000 元,扣除人力成本几乎是亏损的。'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3D56A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single" w:color="C0392B" w:sz="12" w:space="0"/>
              <w:left w:val="single" w:color="C0392B" w:sz="12" w:space="0"/>
              <w:bottom w:val="single" w:color="C0392B" w:sz="12" w:space="0"/>
              <w:right w:val="single" w:color="C0392B" w:sz="12" w:space="0"/>
            </w:tcBorders>
            <w:shd w:val="clear" w:color="auto" w:fill="FAFAF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8025D27">
            <w:pPr>
              <w:spacing w:before="0" w:after="80" w:line="340" w:lineRule="auto"/>
              <w:jc w:val="both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C0392B"/>
                <w:sz w:val="24"/>
                <w:szCs w:val="24"/>
              </w:rPr>
              <w:t>▎</w:t>
            </w: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C0392B"/>
                <w:sz w:val="22"/>
                <w:szCs w:val="22"/>
              </w:rPr>
              <w:t xml:space="preserve"> 核心矛盾</w:t>
            </w:r>
          </w:p>
          <w:p w14:paraId="2DAD4158">
            <w:pPr>
              <w:spacing w:before="0" w:after="0" w:line="340" w:lineRule="auto"/>
              <w:jc w:val="both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1F2937"/>
                <w:sz w:val="21"/>
                <w:szCs w:val="21"/>
              </w:rPr>
              <w:t>尽调成本与单笔收益失衡 — 小微/个体户授信的人工尽调成本(2,000-5,000元/户)接近甚至超过单户年化贡献利润,导致银行'做得越多亏得越多',这是传统模式下'敢贷愿贷'但'能贷不力'的根本原因。</w:t>
            </w:r>
          </w:p>
        </w:tc>
      </w:tr>
    </w:tbl>
    <w:p w14:paraId="7E8D965C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痛点二:风险大 — '看不清的客户最危险'</w:t>
      </w:r>
    </w:p>
    <w:p w14:paraId="19B110C3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小微和个体户的财务报表不规范、经营数据零散、关联关系隐蔽,银行获取信息的渠道有限。客户经理常常面对一份'看不见全貌'的客户画像,做决策时只能保守。</w:t>
      </w:r>
    </w:p>
    <w:p w14:paraId="63206D9E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更危险的是,在传统模式下,银行很难识别欺诈类风险:虚假经营、套贷、关联人多头借贷、虚假抵押物等。某农商行 2024 年的不良案例中,</w:t>
      </w: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70% 来自欺诈而非真实经营恶化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——这意味着,如果有更好的风险识别工具,这些不良完全可以避免。</w:t>
      </w:r>
    </w:p>
    <w:p w14:paraId="60F65E5C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传统的评分卡模型对'坏账'有一定预测能力,但对'欺诈'识别能力很弱。原因是评分卡的逻辑基于历史样本回归,而欺诈行为是不断变种的——这是 AI Agent 等更动态的工具的用武之地。</w:t>
      </w:r>
    </w:p>
    <w:p w14:paraId="5B944166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痛点三:覆盖窄 — '想做的客户做不了,做了的客户用不上'</w:t>
      </w:r>
    </w:p>
    <w:p w14:paraId="5BDA66EF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这是一个被低估的痛点。许多银行已经搭建了线上申请、智能审批等数字化能力,但实际使用率往往不到 30%。原因有两个:</w:t>
      </w:r>
    </w:p>
    <w:p w14:paraId="2E042B83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i w:val="0"/>
          <w:iCs w:val="0"/>
          <w:color w:val="1F3A5F"/>
          <w:sz w:val="21"/>
          <w:szCs w:val="21"/>
        </w:rPr>
        <w:t>其一,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客户线索不足。线上获客成本高,而银行又难以从公开渠道高效筛选合格客户,只能依赖客户经理的人际关系网络;</w:t>
      </w:r>
    </w:p>
    <w:p w14:paraId="3D221D78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i w:val="0"/>
          <w:iCs w:val="0"/>
          <w:color w:val="1F3A5F"/>
          <w:sz w:val="21"/>
          <w:szCs w:val="21"/>
        </w:rPr>
        <w:t>其二,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线上审批能覆盖的场景有限。简单消费贷可以全自动,但小微/个体户经营贷涉及的信息维度过多,纯模型审批拒绝率高,通过率低,反而增加了客户的信任损失。</w:t>
      </w:r>
    </w:p>
    <w:p w14:paraId="02C99F41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这个痛点的本质是:</w:t>
      </w: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银行需要的不是'更多的数字化工具',而是'能像信贷员一样思考的智能助手'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——能理解多维信息、能做综合判断、能解释决策依据、能与客户经理协作而非替代。这正是 AI Agent 的应用场景。</w:t>
      </w:r>
    </w:p>
    <w:p w14:paraId="24EDA55C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1.3  数据要素改革:公共数据进入金融的历史窗口</w:t>
      </w:r>
    </w:p>
    <w:p w14:paraId="79AD3A1F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解决上述痛点,关键是让银行拿到比'客户自报 + 央行征信'更丰富、更真实的客户画像数据。数据从哪里来?这正是国家'数据要素改革'政策给出的答案。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1DE20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single" w:color="B8941F" w:sz="24" w:space="0"/>
              <w:bottom w:val="nil"/>
              <w:right w:val="nil"/>
            </w:tcBorders>
            <w:shd w:val="clear" w:color="auto" w:fill="FAF7EE"/>
            <w:tcMar>
              <w:top w:w="240" w:type="dxa"/>
              <w:left w:w="320" w:type="dxa"/>
              <w:bottom w:w="240" w:type="dxa"/>
              <w:right w:w="240" w:type="dxa"/>
            </w:tcMar>
          </w:tcPr>
          <w:p w14:paraId="0D0A2141">
            <w:pPr>
              <w:spacing w:before="0" w:after="80" w:line="340" w:lineRule="auto"/>
              <w:jc w:val="both"/>
            </w:pPr>
            <w:r>
              <w:rPr>
                <w:rFonts w:ascii="宋体" w:hAnsi="宋体" w:eastAsia="宋体" w:cs="宋体"/>
                <w:b w:val="0"/>
                <w:bCs w:val="0"/>
                <w:i/>
                <w:iCs/>
                <w:color w:val="5A6373"/>
                <w:sz w:val="22"/>
                <w:szCs w:val="22"/>
              </w:rPr>
              <w:t>把数据作为新型生产要素纳入要素市场化配置改革……加快培育数据要素市场,推动数据有序开放,建立数据资源整合和安全保护机制。</w:t>
            </w:r>
          </w:p>
          <w:p w14:paraId="26AD0148">
            <w:pPr>
              <w:spacing w:before="0" w:after="0" w:line="340" w:lineRule="auto"/>
              <w:jc w:val="righ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8B95A3"/>
                <w:sz w:val="19"/>
                <w:szCs w:val="19"/>
              </w:rPr>
              <w:t>— 中共中央、国务院《关于构建数据基础制度更好发挥数据要素作用的意见》(数据二十条)</w:t>
            </w:r>
          </w:p>
        </w:tc>
      </w:tr>
    </w:tbl>
    <w:p w14:paraId="3C889829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自 2022 年'数据二十条'发布以来,各地政府加速推进</w:t>
      </w: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公共数据授权运营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:把分散在工商、税务、社保、电力、司法、医疗等部门的公共数据,通过授权运营机构对外提供合规的数据服务。截至 2024 年底,全国已有超过 20 个省市开展了公共数据授权运营,覆盖企业基础信息、纳税、用电、社保、司法、海关等 50+ 个数据类目。</w:t>
      </w:r>
    </w:p>
    <w:p w14:paraId="7FE22C30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对于银行业,公共数据的价值在于三点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238"/>
      </w:tblGrid>
      <w:tr w14:paraId="73BF7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AA72B3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7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8AEF80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传统数据 vs 公共数据 vs 商业数据</w:t>
            </w:r>
          </w:p>
        </w:tc>
      </w:tr>
      <w:tr w14:paraId="6215D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14C31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数据真实性</w:t>
            </w:r>
          </w:p>
        </w:tc>
        <w:tc>
          <w:tcPr>
            <w:tcW w:w="7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75230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公共数据来自政府部门,真实性最高;企业自报数据存在粉饰可能;商业数据(如电商)真实性中等</w:t>
            </w:r>
          </w:p>
        </w:tc>
      </w:tr>
      <w:tr w14:paraId="43AC1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DE7CC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数据丰富度</w:t>
            </w:r>
          </w:p>
        </w:tc>
        <w:tc>
          <w:tcPr>
            <w:tcW w:w="7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ABA17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公共数据覆盖经营全貌(工商/税务/社保/用电),商业数据补充行为细节(电商/支付),两者结合形成完整画像</w:t>
            </w:r>
          </w:p>
        </w:tc>
      </w:tr>
      <w:tr w14:paraId="2E25A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A33DC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合规边界</w:t>
            </w:r>
          </w:p>
        </w:tc>
        <w:tc>
          <w:tcPr>
            <w:tcW w:w="7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3E344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公共数据通过授权运营合规获取,使用边界清晰;企业自报需企业授权;商业数据合规风险较高,需谨慎使用</w:t>
            </w:r>
          </w:p>
        </w:tc>
      </w:tr>
    </w:tbl>
    <w:p w14:paraId="07A7EB95">
      <w:pPr>
        <w:spacing w:before="80" w:after="80" w:line="340" w:lineRule="auto"/>
        <w:jc w:val="both"/>
      </w:pPr>
      <w:r>
        <w:rPr>
          <w:rFonts w:hint="eastAsia" w:cs="宋体"/>
          <w:b w:val="0"/>
          <w:bCs w:val="0"/>
          <w:color w:val="000000"/>
          <w:sz w:val="21"/>
          <w:szCs w:val="21"/>
          <w:lang w:eastAsia="zh-CN"/>
        </w:rPr>
        <w:t>金智维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与广东省、广西省、广东多个地市的公共数据授权运营机构均建立了合作关系。本白皮书所述的智慧信贷智能体平台,</w:t>
      </w: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底层数据基础设施由珠海正菱(国资数据要素运营商)提供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,覆盖工商、司法、税务、用电、社保、海关、知识产权等 18 大数据类目、323 个 API 接口、近 5,000 个数据字段。</w:t>
      </w:r>
    </w:p>
    <w:p w14:paraId="3FDB57EF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1.4  AI Agent 技术成熟:从'大模型'到'数字员工'</w:t>
      </w:r>
    </w:p>
    <w:p w14:paraId="4FC5E435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有了数据,还需要工具来'用'数据。这就是 AI Agent 技术的角色。</w:t>
      </w:r>
    </w:p>
    <w:p w14:paraId="780CADE7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自 2022 年 ChatGPT 引爆大模型应用以来,行业经历了三个阶段: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600"/>
        <w:gridCol w:w="2800"/>
        <w:gridCol w:w="3638"/>
      </w:tblGrid>
      <w:tr w14:paraId="611CD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9B9CC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16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82DF22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2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96B8EE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技术形态</w:t>
            </w:r>
          </w:p>
        </w:tc>
        <w:tc>
          <w:tcPr>
            <w:tcW w:w="3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DDE6BD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在金融业的应用</w:t>
            </w:r>
          </w:p>
        </w:tc>
      </w:tr>
      <w:tr w14:paraId="50385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28BA3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第一阶段</w:t>
            </w:r>
          </w:p>
        </w:tc>
        <w:tc>
          <w:tcPr>
            <w:tcW w:w="16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B4971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2022-2023</w:t>
            </w:r>
          </w:p>
        </w:tc>
        <w:tc>
          <w:tcPr>
            <w:tcW w:w="2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42E86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大模型问答(LLM Chat)</w:t>
            </w:r>
          </w:p>
        </w:tc>
        <w:tc>
          <w:tcPr>
            <w:tcW w:w="3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9D7F7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客户咨询、内部知识问答</w:t>
            </w:r>
          </w:p>
        </w:tc>
      </w:tr>
      <w:tr w14:paraId="339EB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B0E55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第二阶段</w:t>
            </w:r>
          </w:p>
        </w:tc>
        <w:tc>
          <w:tcPr>
            <w:tcW w:w="16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EFEC9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2023-2024</w:t>
            </w:r>
          </w:p>
        </w:tc>
        <w:tc>
          <w:tcPr>
            <w:tcW w:w="2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5BBD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RAG + 工具调用</w:t>
            </w:r>
          </w:p>
        </w:tc>
        <w:tc>
          <w:tcPr>
            <w:tcW w:w="3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E2AAB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智能客服、合同审查、报告辅助</w:t>
            </w:r>
          </w:p>
        </w:tc>
      </w:tr>
      <w:tr w14:paraId="02915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E3860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第三阶段</w:t>
            </w:r>
          </w:p>
        </w:tc>
        <w:tc>
          <w:tcPr>
            <w:tcW w:w="16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B21C1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2024-2026</w:t>
            </w:r>
          </w:p>
        </w:tc>
        <w:tc>
          <w:tcPr>
            <w:tcW w:w="2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29DB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智能体(AI Agent)</w:t>
            </w:r>
          </w:p>
        </w:tc>
        <w:tc>
          <w:tcPr>
            <w:tcW w:w="3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86E16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自主完成多步任务,如尽调、风控、催收</w:t>
            </w:r>
          </w:p>
        </w:tc>
      </w:tr>
    </w:tbl>
    <w:p w14:paraId="2DC6202B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Agent 与前两代技术的根本区别在于'自主性'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:</w:t>
      </w:r>
    </w:p>
    <w:p w14:paraId="5CF29FE1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i w:val="0"/>
          <w:iCs w:val="0"/>
          <w:color w:val="00A99D"/>
          <w:sz w:val="21"/>
          <w:szCs w:val="21"/>
        </w:rPr>
        <w:t xml:space="preserve">• 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传统 LLM 应用是被动的——人问什么,它答什么;</w:t>
      </w:r>
    </w:p>
    <w:p w14:paraId="4295A0C0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i w:val="0"/>
          <w:iCs w:val="0"/>
          <w:color w:val="00A99D"/>
          <w:sz w:val="21"/>
          <w:szCs w:val="21"/>
        </w:rPr>
        <w:t xml:space="preserve">• 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RAG 应用是检索式的——从知识库找信息回答问题;</w:t>
      </w:r>
    </w:p>
    <w:p w14:paraId="2913AC6C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i w:val="0"/>
          <w:iCs w:val="0"/>
          <w:color w:val="00A99D"/>
          <w:sz w:val="21"/>
          <w:szCs w:val="21"/>
        </w:rPr>
        <w:t xml:space="preserve">• 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Agent 应用是任务式的——给它一个目标,它自主拆解任务、调用工具、综合判断、产出结果。</w:t>
      </w:r>
    </w:p>
    <w:p w14:paraId="6ED5CA55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打个比方:LLM 是'会聊天的实习生',Agent 是'有经验的客户经理'。它能理解'给这家企业做尽调'这个目标,自主决定要查哪些数据、如何分析、如何写报告——而不是等待人去一步步指挥。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51E39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single" w:color="00A99D" w:sz="12" w:space="0"/>
              <w:left w:val="single" w:color="00A99D" w:sz="12" w:space="0"/>
              <w:bottom w:val="single" w:color="00A99D" w:sz="12" w:space="0"/>
              <w:right w:val="single" w:color="00A99D" w:sz="12" w:space="0"/>
            </w:tcBorders>
            <w:shd w:val="clear" w:color="auto" w:fill="FAFAF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0A45757">
            <w:pPr>
              <w:spacing w:before="0" w:after="80" w:line="340" w:lineRule="auto"/>
              <w:jc w:val="both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A99D"/>
                <w:sz w:val="24"/>
                <w:szCs w:val="24"/>
              </w:rPr>
              <w:t>▎</w:t>
            </w: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A99D"/>
                <w:sz w:val="22"/>
                <w:szCs w:val="22"/>
              </w:rPr>
              <w:t xml:space="preserve"> Agent 在信贷场景的核心能力</w:t>
            </w:r>
          </w:p>
          <w:p w14:paraId="0CAD6584">
            <w:pPr>
              <w:spacing w:before="0" w:after="0" w:line="340" w:lineRule="auto"/>
              <w:jc w:val="both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1F2937"/>
                <w:sz w:val="21"/>
                <w:szCs w:val="21"/>
              </w:rPr>
              <w:t>1. 自主任务规划:接到尽调指令后能拆解成数据采集、分析、判断、报告生成等子任务;2. 多源数据融合:同时处理结构化数据(API)和非结构化数据(舆情、政策);3. 推理与判断:能对复杂场景做综合判断,如识别'纳税正常但用电异常'的潜在风险;4. 可解释输出:每一步推理可追溯,符合监管对自动化决策的要求。</w:t>
            </w:r>
          </w:p>
        </w:tc>
      </w:tr>
    </w:tbl>
    <w:p w14:paraId="020008CB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1.5  监管态度:鼓励科技与合规并重</w:t>
      </w:r>
    </w:p>
    <w:p w14:paraId="4F661CC0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银行业在拥抱新技术时最关心的是合规边界。我们对当前监管环境的判断是:</w:t>
      </w: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鼓励创新,但合规先行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。</w:t>
      </w:r>
    </w:p>
    <w:p w14:paraId="4BBB6554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以下是几份与本产品相关的关键监管文件,以及它们对智慧信贷类产品的影响:</w:t>
      </w:r>
    </w:p>
    <w:tbl>
      <w:tblPr>
        <w:tblStyle w:val="11"/>
        <w:tblW w:w="9638" w:type="dxa"/>
        <w:tblInd w:w="-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1300"/>
        <w:gridCol w:w="2700"/>
        <w:gridCol w:w="2938"/>
      </w:tblGrid>
      <w:tr w14:paraId="249B5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E45AA6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监管文件</w:t>
            </w:r>
          </w:p>
        </w:tc>
        <w:tc>
          <w:tcPr>
            <w:tcW w:w="1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4F635F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发布时间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F15E3E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核心要求</w:t>
            </w:r>
          </w:p>
        </w:tc>
        <w:tc>
          <w:tcPr>
            <w:tcW w:w="29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B142A7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对本产品的影响</w:t>
            </w:r>
          </w:p>
        </w:tc>
      </w:tr>
      <w:tr w14:paraId="58724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5325D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《征信业务管理办法》</w:t>
            </w:r>
          </w:p>
        </w:tc>
        <w:tc>
          <w:tcPr>
            <w:tcW w:w="1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75F70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2021.09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EA0C3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征信业务持牌经营,信用信息采集需明示同意</w:t>
            </w:r>
          </w:p>
        </w:tc>
        <w:tc>
          <w:tcPr>
            <w:tcW w:w="29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B1CC7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本产品定位为'决策辅助工具'而非征信报告,不直接对外出具,仅供银行内部审批使用</w:t>
            </w:r>
          </w:p>
        </w:tc>
      </w:tr>
      <w:tr w14:paraId="5109C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BEDC6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《数据安全法》</w:t>
            </w:r>
          </w:p>
        </w:tc>
        <w:tc>
          <w:tcPr>
            <w:tcW w:w="1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7B331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2021.09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2D574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数据本地化、数据分级分类管理</w:t>
            </w:r>
          </w:p>
        </w:tc>
        <w:tc>
          <w:tcPr>
            <w:tcW w:w="29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C5632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全境内处理,数据分类分级管理,私有化部署可选</w:t>
            </w:r>
          </w:p>
        </w:tc>
      </w:tr>
      <w:tr w14:paraId="2224A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71AA8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《个人信息保护法》</w:t>
            </w:r>
          </w:p>
        </w:tc>
        <w:tc>
          <w:tcPr>
            <w:tcW w:w="1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82153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2021.11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0D4B3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最小必要、明示同意、可撤回授权,自动化决策可解释</w:t>
            </w:r>
          </w:p>
        </w:tc>
        <w:tc>
          <w:tcPr>
            <w:tcW w:w="29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2316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完整授权链条 + Agent决策路径全程可追溯 + 人工最终签批</w:t>
            </w:r>
          </w:p>
        </w:tc>
      </w:tr>
      <w:tr w14:paraId="710A3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AD9B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《关于规范金融机构资产管理业务的指导意见》</w:t>
            </w:r>
          </w:p>
        </w:tc>
        <w:tc>
          <w:tcPr>
            <w:tcW w:w="1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B1A6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2018(持续)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31577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禁止刚兑、强化风险隔离</w:t>
            </w:r>
          </w:p>
        </w:tc>
        <w:tc>
          <w:tcPr>
            <w:tcW w:w="29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876E9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本产品不参与银行资产管理业务,定位清晰</w:t>
            </w:r>
          </w:p>
        </w:tc>
      </w:tr>
      <w:tr w14:paraId="32E9F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88CDC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《商业银行互联网贷款管理办法》</w:t>
            </w:r>
          </w:p>
        </w:tc>
        <w:tc>
          <w:tcPr>
            <w:tcW w:w="1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AD2C4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2020(2024修订)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FB30E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互联网贷款的风险管理、合作机构管理</w:t>
            </w:r>
          </w:p>
        </w:tc>
        <w:tc>
          <w:tcPr>
            <w:tcW w:w="29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3CB3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本产品支持银行的合作机构管理要求,数据使用全流程可审计</w:t>
            </w:r>
          </w:p>
        </w:tc>
      </w:tr>
      <w:tr w14:paraId="745F6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41F98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《关于做好2024年金融服务实体经济重点工作的通知》</w:t>
            </w:r>
          </w:p>
        </w:tc>
        <w:tc>
          <w:tcPr>
            <w:tcW w:w="1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FE0BE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2024.01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6A971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鼓励金融科技创新,支持普惠小微</w:t>
            </w:r>
          </w:p>
        </w:tc>
        <w:tc>
          <w:tcPr>
            <w:tcW w:w="29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870E1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明确鼓励创新方向,与产品定位完全一致</w:t>
            </w:r>
          </w:p>
        </w:tc>
      </w:tr>
      <w:tr w14:paraId="56D16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gridSpan w:val="4"/>
            <w:tcBorders>
              <w:top w:val="single" w:color="1F3A5F" w:sz="12" w:space="0"/>
              <w:left w:val="single" w:color="1F3A5F" w:sz="12" w:space="0"/>
              <w:bottom w:val="single" w:color="1F3A5F" w:sz="12" w:space="0"/>
              <w:right w:val="single" w:color="1F3A5F" w:sz="12" w:space="0"/>
            </w:tcBorders>
            <w:shd w:val="clear" w:color="auto" w:fill="FAFAF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A43A7EA">
            <w:pPr>
              <w:spacing w:before="0" w:after="80" w:line="340" w:lineRule="auto"/>
              <w:jc w:val="both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1F3A5F"/>
                <w:sz w:val="24"/>
                <w:szCs w:val="24"/>
              </w:rPr>
              <w:t>▎</w:t>
            </w: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1F3A5F"/>
                <w:sz w:val="22"/>
                <w:szCs w:val="22"/>
              </w:rPr>
              <w:t xml:space="preserve"> 监管核心三原则</w:t>
            </w:r>
          </w:p>
          <w:p w14:paraId="175EA440">
            <w:pPr>
              <w:spacing w:before="0" w:after="0" w:line="340" w:lineRule="auto"/>
              <w:jc w:val="both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1F2937"/>
                <w:sz w:val="21"/>
                <w:szCs w:val="21"/>
              </w:rPr>
              <w:t>对智慧信贷类产品,监管的核心要求可以概括为三句话:数据要授权、决策要可解释、最终由人工签批。本产品在设计之初就把这三条作为产品红线,在所有功能模块中严格落地。</w:t>
            </w:r>
          </w:p>
        </w:tc>
      </w:tr>
    </w:tbl>
    <w:p w14:paraId="7C249472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1.6  行业展望:未来三年的五个趋势判断</w:t>
      </w:r>
    </w:p>
    <w:p w14:paraId="1195504F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基于</w:t>
      </w:r>
      <w:r>
        <w:rPr>
          <w:rFonts w:hint="eastAsia" w:cs="宋体"/>
          <w:b w:val="0"/>
          <w:bCs w:val="0"/>
          <w:i w:val="0"/>
          <w:iCs w:val="0"/>
          <w:color w:val="000000"/>
          <w:sz w:val="21"/>
          <w:szCs w:val="21"/>
          <w:lang w:eastAsia="zh-CN"/>
        </w:rPr>
        <w:t>金智维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长期服务银行业的观察和对国内外金融科技演进的研究,我们对未来 3 年(2026-2028)中国银行业普惠金融数字化的趋势作出以下五个判断。这些判断不是预言,而是我们与每一位银行客户讨论产品规划时所共享的'共同假设'。</w:t>
      </w:r>
    </w:p>
    <w:p w14:paraId="4CDBE056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趋势一:'AI Agent + 公共数据'将成为普惠金融的标配</w:t>
      </w:r>
    </w:p>
    <w:p w14:paraId="7DCBB3CF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过去十年,银行的小微数字化经历了'人工→评分卡→线上申请→审批中台'四个阶段。**未来 3 年,'AI Agent + 公共数据要素'将成为新的标配**——头部银行预计在 2026-2027 年完成基础部署,腰部银行在 2027-2028 年跟进。</w:t>
      </w:r>
    </w:p>
    <w:p w14:paraId="4BF09347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做出这个判断的依据是:数据要素改革已经把'公共数据'变成银行可获取的标准能力,大模型与 Agent 技术也已经从前沿研究走入工程实践,两者的结合是必然。落后银行将在普惠金融领域承受越来越大的成本竞争压力。</w:t>
      </w:r>
    </w:p>
    <w:p w14:paraId="03E176C8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趋势二:从'智能审批'走向'智能客户经理'</w:t>
      </w:r>
    </w:p>
    <w:p w14:paraId="74947889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当前阶段,Agent 主要承担'尽调报告生成'这一单点工作。**未来 3 年内,Agent 的能力将扩展到完整的'数字化客户经理'**——从客户挖掘、关系维护、产品推荐、跟踪服务到贷后管理,覆盖客户经理工作的 60% 以上场景。</w:t>
      </w:r>
    </w:p>
    <w:p w14:paraId="1592C8A3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人类客户经理的角色将转变为'高价值客户的关系经理 + Agent 团队的管理者',一个客户经理可以管理 10 个 Agent,服务客户数从过去的 80 户扩展到 800 户甚至更多。</w:t>
      </w:r>
    </w:p>
    <w:p w14:paraId="7B504908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趋势三:数据要素的市场化定价机制走向成熟</w:t>
      </w:r>
    </w:p>
    <w:p w14:paraId="015275BA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目前公共数据的定价主要通过'授权运营协议'(B 端运营商批发,银行零售调用)。**未来 3 年,数据要素将走向更加市场化的定价**——按调用次数、按数据维度、按使用价值的精细化定价机制将成熟。</w:t>
      </w:r>
    </w:p>
    <w:p w14:paraId="59E11174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这个变化对银行的影响是:数据使用成本会有所提高,但获取的数据深度和广度会大幅增加。一个常用比方是,过去是'订报纸'(包月固定服务),未来会变成'按文章付费'(按需精准付费)——总成本未必更高,但精准度大幅提升。</w:t>
      </w:r>
    </w:p>
    <w:p w14:paraId="36701824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趋势四:监管科技(RegTech)与业务科技深度融合</w:t>
      </w:r>
    </w:p>
    <w:p w14:paraId="537C2213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个人信息保护、自动化决策可解释、数据安全等监管要求,正在从'合规成本'转变为'产品功能'。**未来 3 年,合规能力将不再是某个独立的检查环节,而是嵌入产品每一个 Agent、每一次调用、每一份报告的内置能力**。</w:t>
      </w:r>
    </w:p>
    <w:p w14:paraId="54242010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这意味着,银行选择金融科技合作伙伴时,'合规能力'将与'技术能力'同等重要,甚至更重要。一个无法在产品架构层面把合规设计好的厂商,即使技术再先进也难以在银行业立足。</w:t>
      </w:r>
    </w:p>
    <w:p w14:paraId="7949EEF0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趋势五:开源大模型与私有化部署成为主流</w:t>
      </w:r>
    </w:p>
    <w:p w14:paraId="09BB2807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过去两年,银行在使用大模型时主要依赖商用云端 API。**未来 3 年,基于开源大模型(如 DeepSeek、Qwen、ChatGLM)的私有化部署将成为银行业的主流选择**——原因是数据合规、成本可控、模型可定制三方面的综合考量。</w:t>
      </w:r>
    </w:p>
    <w:p w14:paraId="2BD4F626">
      <w:pPr>
        <w:spacing w:before="80" w:after="80" w:line="340" w:lineRule="auto"/>
        <w:jc w:val="both"/>
      </w:pPr>
      <w:r>
        <w:rPr>
          <w:rFonts w:hint="eastAsia" w:cs="宋体"/>
          <w:b w:val="0"/>
          <w:bCs w:val="0"/>
          <w:i w:val="0"/>
          <w:iCs w:val="0"/>
          <w:color w:val="000000"/>
          <w:sz w:val="21"/>
          <w:szCs w:val="21"/>
          <w:lang w:eastAsia="zh-CN"/>
        </w:rPr>
        <w:t>金智维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的产品架构从设计之初就考虑了多模型适配能力,银行可以根据自己的偏好选择具体模型,平台层不绑定特定模型供应商。这种灵活性将成为产品的核心竞争力之一。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7CFC3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single" w:color="E8843C" w:sz="12" w:space="0"/>
              <w:left w:val="single" w:color="E8843C" w:sz="12" w:space="0"/>
              <w:bottom w:val="single" w:color="E8843C" w:sz="12" w:space="0"/>
              <w:right w:val="single" w:color="E8843C" w:sz="12" w:space="0"/>
            </w:tcBorders>
            <w:shd w:val="clear" w:color="auto" w:fill="FAFAF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B053CA2">
            <w:pPr>
              <w:spacing w:before="0" w:after="80" w:line="340" w:lineRule="auto"/>
              <w:jc w:val="both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E8843C"/>
                <w:sz w:val="24"/>
                <w:szCs w:val="24"/>
              </w:rPr>
              <w:t>▎</w:t>
            </w: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E8843C"/>
                <w:sz w:val="22"/>
                <w:szCs w:val="22"/>
              </w:rPr>
              <w:t xml:space="preserve"> 对银行的建议</w:t>
            </w:r>
          </w:p>
          <w:p w14:paraId="2A7B8D31">
            <w:pPr>
              <w:spacing w:before="0" w:after="0" w:line="340" w:lineRule="auto"/>
              <w:jc w:val="both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1F2937"/>
                <w:sz w:val="21"/>
                <w:szCs w:val="21"/>
              </w:rPr>
              <w:t>面对这些趋势,银行不应该被动等待技术成熟,而应该现在就开始规划。建议每家银行选择 1-2 个 POC 场景,以小成本验证技术可行性、积累团队经验、建立合规框架。从 2026 年开始的 18-24 个月,是中国银行业普惠金融数字化的关键窗口期——这个窗口期的胜负,可能决定未来 5-10 年的小微业务格局。</w:t>
            </w:r>
          </w:p>
        </w:tc>
      </w:tr>
    </w:tbl>
    <w:p w14:paraId="221F44D2">
      <w:pPr>
        <w:pStyle w:val="2"/>
        <w:pageBreakBefore/>
        <w:spacing w:before="480" w:after="240"/>
      </w:pPr>
      <w:r>
        <w:rPr>
          <w:rFonts w:ascii="黑体" w:hAnsi="黑体" w:eastAsia="黑体" w:cs="黑体"/>
          <w:b/>
          <w:bCs/>
          <w:color w:val="1F3A5F"/>
          <w:sz w:val="40"/>
          <w:szCs w:val="40"/>
        </w:rPr>
        <w:t>第二篇  产品定位与价值主张</w:t>
      </w:r>
    </w:p>
    <w:p w14:paraId="49DFB872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2.1  产品定位:智慧信贷智能体平台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634DC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single" w:color="00A99D" w:sz="12" w:space="0"/>
              <w:left w:val="single" w:color="00A99D" w:sz="12" w:space="0"/>
              <w:bottom w:val="single" w:color="00A99D" w:sz="12" w:space="0"/>
              <w:right w:val="single" w:color="00A99D" w:sz="12" w:space="0"/>
            </w:tcBorders>
            <w:shd w:val="clear" w:color="auto" w:fill="FAFAF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6F20D73">
            <w:pPr>
              <w:spacing w:before="0" w:after="80" w:line="340" w:lineRule="auto"/>
              <w:jc w:val="both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A99D"/>
                <w:sz w:val="24"/>
                <w:szCs w:val="24"/>
              </w:rPr>
              <w:t>▎</w:t>
            </w: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A99D"/>
                <w:sz w:val="22"/>
                <w:szCs w:val="22"/>
              </w:rPr>
              <w:t xml:space="preserve"> 一句话产品定位</w:t>
            </w:r>
          </w:p>
          <w:p w14:paraId="7CDB4DF0">
            <w:pPr>
              <w:spacing w:before="0" w:after="0" w:line="340" w:lineRule="auto"/>
              <w:jc w:val="both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1F2937"/>
                <w:sz w:val="21"/>
                <w:szCs w:val="21"/>
              </w:rPr>
              <w:t>面向银行的小微 / 个体户 / 普惠信贷智能体平台 — 以公共数据要素为底座,以 AI Agent 为执行层,覆盖批量获客、智能征信、全周期风控的一体化解决方案。</w:t>
            </w:r>
          </w:p>
        </w:tc>
      </w:tr>
    </w:tbl>
    <w:p w14:paraId="55F04248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我们用三个关键词来理解这个定位:</w:t>
      </w:r>
    </w:p>
    <w:p w14:paraId="6FAAEF81">
      <w:pPr>
        <w:spacing w:before="200" w:after="100"/>
      </w:pPr>
      <w:r>
        <w:rPr>
          <w:rFonts w:ascii="黑体" w:hAnsi="黑体" w:eastAsia="黑体" w:cs="黑体"/>
          <w:b/>
          <w:bCs/>
          <w:color w:val="5A6373"/>
          <w:sz w:val="22"/>
          <w:szCs w:val="22"/>
        </w:rPr>
        <w:t>关键词一:公共数据要素为底座</w:t>
      </w:r>
    </w:p>
    <w:p w14:paraId="4C8FB951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产品的底层数据基础设施由国资背景的公共数据要素运营商(本平台为珠海正菱)提供,数据合规、稳定、可追溯。这是与市面上依赖爬虫或商业数据的产品最根本的区别。</w:t>
      </w:r>
    </w:p>
    <w:p w14:paraId="5235647F">
      <w:pPr>
        <w:spacing w:before="200" w:after="100"/>
      </w:pPr>
      <w:r>
        <w:rPr>
          <w:rFonts w:ascii="黑体" w:hAnsi="黑体" w:eastAsia="黑体" w:cs="黑体"/>
          <w:b/>
          <w:bCs/>
          <w:color w:val="5A6373"/>
          <w:sz w:val="22"/>
          <w:szCs w:val="22"/>
        </w:rPr>
        <w:t>关键词二:AI Agent 为执行层</w:t>
      </w:r>
    </w:p>
    <w:p w14:paraId="36FDA121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产品不是简单的评分卡或规则引擎,而是由 18 个法人版 Agent + 8 个个体户版 Agent 组成的智能体团队,自主完成尽调全流程。每个 Agent 对应人类客户经理的一项专业能力(行业分析、财务诊断、关联方分析等)。</w:t>
      </w:r>
    </w:p>
    <w:p w14:paraId="5D2FF835">
      <w:pPr>
        <w:spacing w:before="200" w:after="100"/>
      </w:pPr>
      <w:r>
        <w:rPr>
          <w:rFonts w:ascii="黑体" w:hAnsi="黑体" w:eastAsia="黑体" w:cs="黑体"/>
          <w:b/>
          <w:bCs/>
          <w:color w:val="5A6373"/>
          <w:sz w:val="22"/>
          <w:szCs w:val="22"/>
        </w:rPr>
        <w:t>关键词三:全周期一体化</w:t>
      </w:r>
    </w:p>
    <w:p w14:paraId="0D458AFF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产品覆盖从'获客 → 征信 → 审批 → 监控 → 催收'的信贷全周期,而非单点功能。这意味着银行可以从单点切入,逐步扩展到全流程。</w:t>
      </w:r>
    </w:p>
    <w:p w14:paraId="04204BA3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2.2  核心价值:降本 · 提效 · 控险</w:t>
      </w:r>
    </w:p>
    <w:p w14:paraId="2D9495FD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我们用一组数据来直观展示产品对银行小微/个体户授信业务的价值贡献:</w:t>
      </w:r>
    </w:p>
    <w:p w14:paraId="1A34A7E9"/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9"/>
        <w:gridCol w:w="2409"/>
        <w:gridCol w:w="2410"/>
        <w:gridCol w:w="2410"/>
      </w:tblGrid>
      <w:tr w14:paraId="562D0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9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200" w:type="dxa"/>
              <w:left w:w="160" w:type="dxa"/>
              <w:bottom w:w="200" w:type="dxa"/>
              <w:right w:w="160" w:type="dxa"/>
            </w:tcMar>
            <w:vAlign w:val="top"/>
          </w:tcPr>
          <w:p w14:paraId="282D9A2E">
            <w:pPr>
              <w:spacing w:before="0" w:after="8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1F3A5F"/>
                <w:sz w:val="20"/>
                <w:szCs w:val="20"/>
              </w:rPr>
              <w:t>尽调成本</w:t>
            </w:r>
          </w:p>
          <w:p w14:paraId="46E49780">
            <w:pPr>
              <w:spacing w:before="0" w:after="8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27AE60"/>
                <w:sz w:val="32"/>
                <w:szCs w:val="32"/>
              </w:rPr>
              <w:t>↓ 92%</w:t>
            </w:r>
          </w:p>
          <w:p w14:paraId="283B528D">
            <w:pPr>
              <w:spacing w:before="0" w:after="0" w:line="34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5A6373"/>
                <w:sz w:val="17"/>
                <w:szCs w:val="17"/>
              </w:rPr>
              <w:t>从 3,000 元/户降至 250 元/户</w:t>
            </w:r>
          </w:p>
        </w:tc>
        <w:tc>
          <w:tcPr>
            <w:tcW w:w="2409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200" w:type="dxa"/>
              <w:left w:w="160" w:type="dxa"/>
              <w:bottom w:w="200" w:type="dxa"/>
              <w:right w:w="160" w:type="dxa"/>
            </w:tcMar>
            <w:vAlign w:val="top"/>
          </w:tcPr>
          <w:p w14:paraId="77749852">
            <w:pPr>
              <w:spacing w:before="0" w:after="8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1F3A5F"/>
                <w:sz w:val="20"/>
                <w:szCs w:val="20"/>
              </w:rPr>
              <w:t>尽调效率</w:t>
            </w:r>
          </w:p>
          <w:p w14:paraId="559A31AB">
            <w:pPr>
              <w:spacing w:before="0" w:after="8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A99D"/>
                <w:sz w:val="32"/>
                <w:szCs w:val="32"/>
              </w:rPr>
              <w:t>↑ 30x</w:t>
            </w:r>
          </w:p>
          <w:p w14:paraId="0DF7075B">
            <w:pPr>
              <w:spacing w:before="0" w:after="0" w:line="34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5A6373"/>
                <w:sz w:val="17"/>
                <w:szCs w:val="17"/>
              </w:rPr>
              <w:t>从 2-3 天/份缩短到 8 分钟/份</w:t>
            </w:r>
          </w:p>
        </w:tc>
        <w:tc>
          <w:tcPr>
            <w:tcW w:w="2409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200" w:type="dxa"/>
              <w:left w:w="160" w:type="dxa"/>
              <w:bottom w:w="200" w:type="dxa"/>
              <w:right w:w="160" w:type="dxa"/>
            </w:tcMar>
            <w:vAlign w:val="top"/>
          </w:tcPr>
          <w:p w14:paraId="0582F7FA">
            <w:pPr>
              <w:spacing w:before="0" w:after="8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1F3A5F"/>
                <w:sz w:val="20"/>
                <w:szCs w:val="20"/>
              </w:rPr>
              <w:t>欺诈识别</w:t>
            </w:r>
          </w:p>
          <w:p w14:paraId="5CF54580">
            <w:pPr>
              <w:spacing w:before="0" w:after="8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A99D"/>
                <w:sz w:val="32"/>
                <w:szCs w:val="32"/>
              </w:rPr>
              <w:t>↑ 60%</w:t>
            </w:r>
          </w:p>
          <w:p w14:paraId="6E7C5692">
            <w:pPr>
              <w:spacing w:before="0" w:after="0" w:line="34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5A6373"/>
                <w:sz w:val="17"/>
                <w:szCs w:val="17"/>
              </w:rPr>
              <w:t>比传统评分卡高 60% 命中率</w:t>
            </w:r>
          </w:p>
        </w:tc>
        <w:tc>
          <w:tcPr>
            <w:tcW w:w="2409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200" w:type="dxa"/>
              <w:left w:w="160" w:type="dxa"/>
              <w:bottom w:w="200" w:type="dxa"/>
              <w:right w:w="160" w:type="dxa"/>
            </w:tcMar>
            <w:vAlign w:val="top"/>
          </w:tcPr>
          <w:p w14:paraId="7CA8E921">
            <w:pPr>
              <w:spacing w:before="0" w:after="8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1F3A5F"/>
                <w:sz w:val="20"/>
                <w:szCs w:val="20"/>
              </w:rPr>
              <w:t>客户覆盖</w:t>
            </w:r>
          </w:p>
          <w:p w14:paraId="033AC0EB">
            <w:pPr>
              <w:spacing w:before="0" w:after="8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E8843C"/>
                <w:sz w:val="32"/>
                <w:szCs w:val="32"/>
              </w:rPr>
              <w:t>↑ 10x</w:t>
            </w:r>
          </w:p>
          <w:p w14:paraId="2DBB4BB0">
            <w:pPr>
              <w:spacing w:before="0" w:after="0" w:line="34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5A6373"/>
                <w:sz w:val="17"/>
                <w:szCs w:val="17"/>
              </w:rPr>
              <w:t>同等人力可覆盖 10 倍的客户量</w:t>
            </w:r>
          </w:p>
        </w:tc>
      </w:tr>
    </w:tbl>
    <w:p w14:paraId="5D38E838"/>
    <w:p w14:paraId="5AD6B232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/>
          <w:iCs/>
          <w:color w:val="5A6373"/>
          <w:sz w:val="19"/>
          <w:szCs w:val="19"/>
        </w:rPr>
        <w:t>以上数据综合自三方面来源:中国银行业协会发布的《2024 年银行业小微金融数字化转型白皮书》行业基准、</w:t>
      </w:r>
      <w:r>
        <w:rPr>
          <w:rFonts w:hint="eastAsia" w:cs="宋体"/>
          <w:b w:val="0"/>
          <w:bCs w:val="0"/>
          <w:i/>
          <w:iCs/>
          <w:color w:val="5A6373"/>
          <w:sz w:val="19"/>
          <w:szCs w:val="19"/>
          <w:lang w:eastAsia="zh-CN"/>
        </w:rPr>
        <w:t>金智维</w:t>
      </w:r>
      <w:r>
        <w:rPr>
          <w:rFonts w:ascii="宋体" w:hAnsi="宋体" w:eastAsia="宋体" w:cs="宋体"/>
          <w:b w:val="0"/>
          <w:bCs w:val="0"/>
          <w:i/>
          <w:iCs/>
          <w:color w:val="5A6373"/>
          <w:sz w:val="19"/>
          <w:szCs w:val="19"/>
        </w:rPr>
        <w:t>服务的 30+ 银行业客户的内部测评数据、以及我们承接的多个批量授信项目的脱敏运营数据。具体到每家银行的实际效果,会因客群结构、数据可用性、流程改造深度等因素有所差异。</w:t>
      </w:r>
    </w:p>
    <w:p w14:paraId="28A75BD5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降本:把'人工尽调'变成'AI 尽调 + 人工签批'</w:t>
      </w:r>
    </w:p>
    <w:p w14:paraId="4A66A840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传统的小微尽调流程,1 名客户经理需要 2-3 天才能完成 1 份尽调报告,人力成本约 1,500 元;加上交通、复印、查询等费用,单户综合尽调成本约 3,000 元。</w:t>
      </w:r>
    </w:p>
    <w:p w14:paraId="2E8223E4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使用智慧信贷智能体平台后,Agent 在 8-12 分钟内自主完成尽调报告(含 18 个 Agent 的协同输出),客户经理只需对报告进行复核签批,工作时间从 2-3 天压缩到 30-60 分钟。</w:t>
      </w: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单户综合尽调成本下降 92%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,从 3,000 元降至约 250 元(含 API 调用、Agent 推理、人工复核成本)。</w:t>
      </w:r>
    </w:p>
    <w:p w14:paraId="6F41476A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提效:把'排队等审'变成'秒级响应'</w:t>
      </w:r>
    </w:p>
    <w:p w14:paraId="7B4C9329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传统流程中,客户从申请到拿到批复,平均需要 5-7 个工作日(含尽调、复核、上会、放款等环节)。本平台支持的全流程自动化方案下,</w:t>
      </w: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简单授信场景可实现 T+0 到 T+1 的全流程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,客户体验大幅改善。</w:t>
      </w:r>
    </w:p>
    <w:p w14:paraId="4AC89843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控险:把'看不见的风险'变成'看得见的预警'</w:t>
      </w:r>
    </w:p>
    <w:p w14:paraId="3FD97CB4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控险有两层含义:</w:t>
      </w:r>
    </w:p>
    <w:p w14:paraId="0B70CE52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第一层是贷前风险识别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:平台通过五对交叉验证(纳税×用电、发票×营收、社保×年报、反欺诈×发票、多头×融资)识别单一维度评分难以察觉的异常,</w:t>
      </w: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对'财务粉饰'类风险的识别能力比传统评分卡提升约 60%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。</w:t>
      </w:r>
    </w:p>
    <w:p w14:paraId="46E197BB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第二层是贷后风险监控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:平台对所有存量客户提供 365 天 24 小时的事件驱动监控,从工商变更、司法新增、纳税异动、用电突变到关联方风险、舆情负面,共 30+ 个监控维度,</w:t>
      </w: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风险事件预警时效从'人工每月一次'缩短到'实时'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。</w:t>
      </w:r>
    </w:p>
    <w:p w14:paraId="6266E189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2.3  传统方案 vs 智能体方案</w:t>
      </w:r>
    </w:p>
    <w:tbl>
      <w:tblPr>
        <w:tblStyle w:val="11"/>
        <w:tblW w:w="9638" w:type="dxa"/>
        <w:tblInd w:w="-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500"/>
        <w:gridCol w:w="3738"/>
      </w:tblGrid>
      <w:tr w14:paraId="2C6A0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FC6CB9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对比维度</w:t>
            </w:r>
          </w:p>
        </w:tc>
        <w:tc>
          <w:tcPr>
            <w:tcW w:w="3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A4C81B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传统评分卡 / 信贷工厂</w:t>
            </w:r>
          </w:p>
        </w:tc>
        <w:tc>
          <w:tcPr>
            <w:tcW w:w="37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9DF7CE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智慧信贷智能体平台</w:t>
            </w:r>
          </w:p>
        </w:tc>
      </w:tr>
      <w:tr w14:paraId="26600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5A4EE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底层逻辑</w:t>
            </w:r>
          </w:p>
        </w:tc>
        <w:tc>
          <w:tcPr>
            <w:tcW w:w="3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6A956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基于历史样本的统计回归模型</w:t>
            </w:r>
          </w:p>
        </w:tc>
        <w:tc>
          <w:tcPr>
            <w:tcW w:w="37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F63B4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基于多源数据的 AI Agent 自主分析</w:t>
            </w:r>
          </w:p>
        </w:tc>
      </w:tr>
      <w:tr w14:paraId="5A885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A4474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分析维度</w:t>
            </w:r>
          </w:p>
        </w:tc>
        <w:tc>
          <w:tcPr>
            <w:tcW w:w="3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AA8F6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20-30 个评分变量</w:t>
            </w:r>
          </w:p>
        </w:tc>
        <w:tc>
          <w:tcPr>
            <w:tcW w:w="37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2755D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300+ 数据维度,18 个分析视角</w:t>
            </w:r>
          </w:p>
        </w:tc>
      </w:tr>
      <w:tr w14:paraId="7E0C7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E47BF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报告深度</w:t>
            </w:r>
          </w:p>
        </w:tc>
        <w:tc>
          <w:tcPr>
            <w:tcW w:w="3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C1EA8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评分 + 简单标签,无叙事性</w:t>
            </w:r>
          </w:p>
        </w:tc>
        <w:tc>
          <w:tcPr>
            <w:tcW w:w="37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DA2E3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50 页深度尽调报告,接近人工水平</w:t>
            </w:r>
          </w:p>
        </w:tc>
      </w:tr>
      <w:tr w14:paraId="309E8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99980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定制能力</w:t>
            </w:r>
          </w:p>
        </w:tc>
        <w:tc>
          <w:tcPr>
            <w:tcW w:w="3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A3DEB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固定模板,需开发改造</w:t>
            </w:r>
          </w:p>
        </w:tc>
        <w:tc>
          <w:tcPr>
            <w:tcW w:w="37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23C27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Agent 可灵活配置,适配不同场景</w:t>
            </w:r>
          </w:p>
        </w:tc>
      </w:tr>
      <w:tr w14:paraId="5C594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FE877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欺诈识别</w:t>
            </w:r>
          </w:p>
        </w:tc>
        <w:tc>
          <w:tcPr>
            <w:tcW w:w="3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50083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弱(基于历史样本)</w:t>
            </w:r>
          </w:p>
        </w:tc>
        <w:tc>
          <w:tcPr>
            <w:tcW w:w="37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4F52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强(实时多源交叉验证)</w:t>
            </w:r>
          </w:p>
        </w:tc>
      </w:tr>
      <w:tr w14:paraId="50258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FFCA2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可解释性</w:t>
            </w:r>
          </w:p>
        </w:tc>
        <w:tc>
          <w:tcPr>
            <w:tcW w:w="3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9A0B3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黑盒系数,难以解释</w:t>
            </w:r>
          </w:p>
        </w:tc>
        <w:tc>
          <w:tcPr>
            <w:tcW w:w="37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A49ED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Agent 决策路径全程可追溯</w:t>
            </w:r>
          </w:p>
        </w:tc>
      </w:tr>
      <w:tr w14:paraId="63340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C3784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监管接受度</w:t>
            </w:r>
          </w:p>
        </w:tc>
        <w:tc>
          <w:tcPr>
            <w:tcW w:w="3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EE436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成熟,普遍接受</w:t>
            </w:r>
          </w:p>
        </w:tc>
        <w:tc>
          <w:tcPr>
            <w:tcW w:w="37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61A98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新兴,但符合监管原则,正快速被接受</w:t>
            </w:r>
          </w:p>
        </w:tc>
      </w:tr>
      <w:tr w14:paraId="52914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9FE68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实施周期</w:t>
            </w:r>
          </w:p>
        </w:tc>
        <w:tc>
          <w:tcPr>
            <w:tcW w:w="3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0DA8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3-6 个月</w:t>
            </w:r>
          </w:p>
        </w:tc>
        <w:tc>
          <w:tcPr>
            <w:tcW w:w="37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B1D1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POC 4 周,全面上线 3-6 个月</w:t>
            </w:r>
          </w:p>
        </w:tc>
      </w:tr>
      <w:tr w14:paraId="2ECFF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A7CB6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按户成本</w:t>
            </w:r>
          </w:p>
        </w:tc>
        <w:tc>
          <w:tcPr>
            <w:tcW w:w="3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27912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10-50 元(自建)</w:t>
            </w:r>
          </w:p>
        </w:tc>
        <w:tc>
          <w:tcPr>
            <w:tcW w:w="37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7A13C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100-500 元(含全套数据+Agent推理)</w:t>
            </w:r>
          </w:p>
        </w:tc>
      </w:tr>
      <w:tr w14:paraId="65E7E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gridSpan w:val="3"/>
            <w:tcBorders>
              <w:top w:val="single" w:color="E8843C" w:sz="12" w:space="0"/>
              <w:left w:val="single" w:color="E8843C" w:sz="12" w:space="0"/>
              <w:bottom w:val="single" w:color="E8843C" w:sz="12" w:space="0"/>
              <w:right w:val="single" w:color="E8843C" w:sz="12" w:space="0"/>
            </w:tcBorders>
            <w:shd w:val="clear" w:color="auto" w:fill="FAFAF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6AD7306">
            <w:pPr>
              <w:spacing w:before="0" w:after="80" w:line="340" w:lineRule="auto"/>
              <w:jc w:val="both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E8843C"/>
                <w:sz w:val="24"/>
                <w:szCs w:val="24"/>
              </w:rPr>
              <w:t>▎</w:t>
            </w: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E8843C"/>
                <w:sz w:val="22"/>
                <w:szCs w:val="22"/>
              </w:rPr>
              <w:t xml:space="preserve"> 重要说明</w:t>
            </w:r>
          </w:p>
          <w:p w14:paraId="6E8AF87C">
            <w:pPr>
              <w:spacing w:before="0" w:after="0" w:line="340" w:lineRule="auto"/>
              <w:jc w:val="both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1F2937"/>
                <w:sz w:val="21"/>
                <w:szCs w:val="21"/>
              </w:rPr>
              <w:t>智能体方案不是要替代评分卡,而是与评分卡互补共存。评分卡擅长批量自动化决策(如简单消费贷),智能体擅长复杂场景的深度尽调(如小微/个体户经营贷)。最佳实践是'两者并行,各司其职'。</w:t>
            </w:r>
          </w:p>
        </w:tc>
      </w:tr>
    </w:tbl>
    <w:p w14:paraId="3AA1493C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2.4  与同类智能体平台对比</w:t>
      </w:r>
    </w:p>
    <w:p w14:paraId="649A97E1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市场上已有的'AI 智能体'类产品,大致可以分为三类: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600"/>
        <w:gridCol w:w="2400"/>
        <w:gridCol w:w="2238"/>
      </w:tblGrid>
      <w:tr w14:paraId="58940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EB2E98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26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D3173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代表厂商</w:t>
            </w:r>
          </w:p>
        </w:tc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121A9A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特点</w:t>
            </w:r>
          </w:p>
        </w:tc>
        <w:tc>
          <w:tcPr>
            <w:tcW w:w="2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F92E34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局限性</w:t>
            </w:r>
          </w:p>
        </w:tc>
      </w:tr>
      <w:tr w14:paraId="158A5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CF05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大模型直接服务</w:t>
            </w:r>
          </w:p>
        </w:tc>
        <w:tc>
          <w:tcPr>
            <w:tcW w:w="26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0C90C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通用大模型厂商</w:t>
            </w:r>
          </w:p>
        </w:tc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D3997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通用能力强,价格便宜</w:t>
            </w:r>
          </w:p>
        </w:tc>
        <w:tc>
          <w:tcPr>
            <w:tcW w:w="2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FA7F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缺乏行业沉淀和数据底座,银行难以直接落地</w:t>
            </w:r>
          </w:p>
        </w:tc>
      </w:tr>
      <w:tr w14:paraId="23C9D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BA989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金融数据厂商 + AI</w:t>
            </w:r>
          </w:p>
        </w:tc>
        <w:tc>
          <w:tcPr>
            <w:tcW w:w="26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6FE0D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传统金融数据公司</w:t>
            </w:r>
          </w:p>
        </w:tc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1D620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数据丰富,合规背书强</w:t>
            </w:r>
          </w:p>
        </w:tc>
        <w:tc>
          <w:tcPr>
            <w:tcW w:w="2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8B9C3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Agent能力薄弱,产品形态接近'评分卡升级版'</w:t>
            </w:r>
          </w:p>
        </w:tc>
      </w:tr>
      <w:tr w14:paraId="6C52F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BD8A8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AI智能体平台</w:t>
            </w:r>
          </w:p>
        </w:tc>
        <w:tc>
          <w:tcPr>
            <w:tcW w:w="26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729B7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新兴 Agent 厂商</w:t>
            </w:r>
          </w:p>
        </w:tc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031D8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Agent 编排能力强,产品创新</w:t>
            </w:r>
          </w:p>
        </w:tc>
        <w:tc>
          <w:tcPr>
            <w:tcW w:w="2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53D09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缺乏银行业Know-how,数据合规边界模糊</w:t>
            </w:r>
          </w:p>
        </w:tc>
      </w:tr>
    </w:tbl>
    <w:p w14:paraId="430679BD">
      <w:pPr>
        <w:spacing w:before="80" w:after="80" w:line="340" w:lineRule="auto"/>
        <w:jc w:val="both"/>
      </w:pPr>
      <w:r>
        <w:rPr>
          <w:rFonts w:hint="eastAsia" w:cs="宋体"/>
          <w:b/>
          <w:bCs/>
          <w:color w:val="1F3A5F"/>
          <w:sz w:val="21"/>
          <w:szCs w:val="21"/>
          <w:lang w:eastAsia="zh-CN"/>
        </w:rPr>
        <w:t>金智维</w:t>
      </w: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的差异化优势在于:三者兼具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——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12"/>
        <w:gridCol w:w="3213"/>
        <w:gridCol w:w="3213"/>
      </w:tblGrid>
      <w:tr w14:paraId="199B6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12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DCE6F1"/>
            <w:tcMar>
              <w:top w:w="240" w:type="dxa"/>
              <w:left w:w="200" w:type="dxa"/>
              <w:bottom w:w="240" w:type="dxa"/>
              <w:right w:w="200" w:type="dxa"/>
            </w:tcMar>
            <w:vAlign w:val="top"/>
          </w:tcPr>
          <w:p w14:paraId="0D6D8AF6">
            <w:pPr>
              <w:spacing w:before="0" w:after="10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1F3A5F"/>
                <w:sz w:val="28"/>
                <w:szCs w:val="28"/>
              </w:rPr>
              <w:t>📊</w:t>
            </w:r>
          </w:p>
          <w:p w14:paraId="33C4A0EE">
            <w:pPr>
              <w:spacing w:before="0" w:after="10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1F3A5F"/>
                <w:sz w:val="22"/>
                <w:szCs w:val="22"/>
              </w:rPr>
              <w:t>强数据底座</w:t>
            </w:r>
          </w:p>
          <w:p w14:paraId="73F1CAAD">
            <w:pPr>
              <w:spacing w:before="0" w:after="0"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5A6373"/>
                <w:sz w:val="19"/>
                <w:szCs w:val="19"/>
              </w:rPr>
              <w:t>深度合作国资公共数据要素运营商(正菱),数据合规、稳定、丰富。</w:t>
            </w:r>
          </w:p>
        </w:tc>
        <w:tc>
          <w:tcPr>
            <w:tcW w:w="3212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D9F2EC"/>
            <w:tcMar>
              <w:top w:w="240" w:type="dxa"/>
              <w:left w:w="200" w:type="dxa"/>
              <w:bottom w:w="240" w:type="dxa"/>
              <w:right w:w="200" w:type="dxa"/>
            </w:tcMar>
            <w:vAlign w:val="top"/>
          </w:tcPr>
          <w:p w14:paraId="73698846">
            <w:pPr>
              <w:spacing w:before="0" w:after="10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A99D"/>
                <w:sz w:val="28"/>
                <w:szCs w:val="28"/>
              </w:rPr>
              <w:t>🤖</w:t>
            </w:r>
          </w:p>
          <w:p w14:paraId="5C49458E">
            <w:pPr>
              <w:spacing w:before="0" w:after="10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A99D"/>
                <w:sz w:val="22"/>
                <w:szCs w:val="22"/>
              </w:rPr>
              <w:t>强Agent能力</w:t>
            </w:r>
          </w:p>
          <w:p w14:paraId="6DDD4CAC">
            <w:pPr>
              <w:spacing w:before="0" w:after="0"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5A6373"/>
                <w:sz w:val="19"/>
                <w:szCs w:val="19"/>
              </w:rPr>
              <w:t>自主研发的 SDAFI 方法论 + KAgentS 平台,服务过 30+ 家金融机构。</w:t>
            </w:r>
          </w:p>
        </w:tc>
        <w:tc>
          <w:tcPr>
            <w:tcW w:w="3212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CEFE0"/>
            <w:tcMar>
              <w:top w:w="240" w:type="dxa"/>
              <w:left w:w="200" w:type="dxa"/>
              <w:bottom w:w="240" w:type="dxa"/>
              <w:right w:w="200" w:type="dxa"/>
            </w:tcMar>
            <w:vAlign w:val="top"/>
          </w:tcPr>
          <w:p w14:paraId="48765BD9">
            <w:pPr>
              <w:spacing w:before="0" w:after="10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E8843C"/>
                <w:sz w:val="28"/>
                <w:szCs w:val="28"/>
              </w:rPr>
              <w:t>🏦</w:t>
            </w:r>
          </w:p>
          <w:p w14:paraId="3637174F">
            <w:pPr>
              <w:spacing w:before="0" w:after="10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E8843C"/>
                <w:sz w:val="22"/>
                <w:szCs w:val="22"/>
              </w:rPr>
              <w:t>强行业Know-how</w:t>
            </w:r>
          </w:p>
          <w:p w14:paraId="277F2B77">
            <w:pPr>
              <w:spacing w:before="0" w:after="0"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5A6373"/>
                <w:sz w:val="19"/>
                <w:szCs w:val="19"/>
              </w:rPr>
              <w:t>团队来自银行总行 + 头部咨询 + 大厂 AI,深度理解银行业务。</w:t>
            </w:r>
          </w:p>
        </w:tc>
      </w:tr>
    </w:tbl>
    <w:p w14:paraId="62D95D37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2.5  ROI 测算</w:t>
      </w:r>
    </w:p>
    <w:p w14:paraId="2BDB8027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以一家中型城商行(假设普惠小微存量客户 5,000 户、年新增小微授信 2,000 户、年新增个体户授信 5,000 户)为例,使用本平台的成本与收益测算如下: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2300"/>
        <w:gridCol w:w="2300"/>
        <w:gridCol w:w="2338"/>
      </w:tblGrid>
      <w:tr w14:paraId="52D72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E10C37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2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E9558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原模式(年)</w:t>
            </w:r>
          </w:p>
        </w:tc>
        <w:tc>
          <w:tcPr>
            <w:tcW w:w="2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8C6A71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新模式(年)</w:t>
            </w:r>
          </w:p>
        </w:tc>
        <w:tc>
          <w:tcPr>
            <w:tcW w:w="23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6B9C12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差异</w:t>
            </w:r>
          </w:p>
        </w:tc>
      </w:tr>
      <w:tr w14:paraId="7DD05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CA379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小微尽调人力(人)</w:t>
            </w:r>
          </w:p>
        </w:tc>
        <w:tc>
          <w:tcPr>
            <w:tcW w:w="2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32C7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30 人</w:t>
            </w:r>
          </w:p>
        </w:tc>
        <w:tc>
          <w:tcPr>
            <w:tcW w:w="2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8FC62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10 人</w:t>
            </w:r>
          </w:p>
        </w:tc>
        <w:tc>
          <w:tcPr>
            <w:tcW w:w="23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FFB29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节省 20 人,约 400 万人力成本</w:t>
            </w:r>
          </w:p>
        </w:tc>
      </w:tr>
      <w:tr w14:paraId="362F4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F20A9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小微尽调成本(元/户)</w:t>
            </w:r>
          </w:p>
        </w:tc>
        <w:tc>
          <w:tcPr>
            <w:tcW w:w="2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276C9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3,000</w:t>
            </w:r>
          </w:p>
        </w:tc>
        <w:tc>
          <w:tcPr>
            <w:tcW w:w="2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572E3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23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E3532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节省 2,700 元/户 × 2,000 户 = 540 万</w:t>
            </w:r>
          </w:p>
        </w:tc>
      </w:tr>
      <w:tr w14:paraId="7C3AC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8F19F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个体户尽调成本(元/户)</w:t>
            </w:r>
          </w:p>
        </w:tc>
        <w:tc>
          <w:tcPr>
            <w:tcW w:w="2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2FC5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1,200</w:t>
            </w:r>
          </w:p>
        </w:tc>
        <w:tc>
          <w:tcPr>
            <w:tcW w:w="2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FE99E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23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C60A9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节省 1,100 元/户 × 5,000 户 = 550 万</w:t>
            </w:r>
          </w:p>
        </w:tc>
      </w:tr>
      <w:tr w14:paraId="494C8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2A7AF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欺诈不良率(预估)</w:t>
            </w:r>
          </w:p>
        </w:tc>
        <w:tc>
          <w:tcPr>
            <w:tcW w:w="2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3769C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1.5%</w:t>
            </w:r>
          </w:p>
        </w:tc>
        <w:tc>
          <w:tcPr>
            <w:tcW w:w="2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400C1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0.6%</w:t>
            </w:r>
          </w:p>
        </w:tc>
        <w:tc>
          <w:tcPr>
            <w:tcW w:w="23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E16B7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降低 0.9pp,按授信 30 亿计算节省 2,700 万损失</w:t>
            </w:r>
          </w:p>
        </w:tc>
      </w:tr>
      <w:tr w14:paraId="3175C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F71C9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客户覆盖能力</w:t>
            </w:r>
          </w:p>
        </w:tc>
        <w:tc>
          <w:tcPr>
            <w:tcW w:w="2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4A21C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受限</w:t>
            </w:r>
          </w:p>
        </w:tc>
        <w:tc>
          <w:tcPr>
            <w:tcW w:w="2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5C2A0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提升 10 倍</w:t>
            </w:r>
          </w:p>
        </w:tc>
        <w:tc>
          <w:tcPr>
            <w:tcW w:w="23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4B9B8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增量收入 2,000-5,000 万(因行而异)</w:t>
            </w:r>
          </w:p>
        </w:tc>
      </w:tr>
      <w:tr w14:paraId="221F9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45C9A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0B818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6149B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3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36A37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</w:tr>
      <w:tr w14:paraId="20715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F0099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平台年成本</w:t>
            </w:r>
          </w:p>
        </w:tc>
        <w:tc>
          <w:tcPr>
            <w:tcW w:w="2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48EDE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447AB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300-500 万</w:t>
            </w:r>
          </w:p>
        </w:tc>
        <w:tc>
          <w:tcPr>
            <w:tcW w:w="23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6B99E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(SaaS订阅 + 数据成本 + 实施服务)</w:t>
            </w:r>
          </w:p>
        </w:tc>
      </w:tr>
      <w:tr w14:paraId="4CA09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C70F0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综合年化净收益</w:t>
            </w:r>
          </w:p>
        </w:tc>
        <w:tc>
          <w:tcPr>
            <w:tcW w:w="2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22E60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A1ECB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3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F3A38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约 3,000-5,000 万 / 年(中等保守估算)</w:t>
            </w:r>
          </w:p>
        </w:tc>
      </w:tr>
      <w:tr w14:paraId="7E987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BDBED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ROI</w:t>
            </w:r>
          </w:p>
        </w:tc>
        <w:tc>
          <w:tcPr>
            <w:tcW w:w="2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D09FB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F7179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3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D4E36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约 6-10 倍</w:t>
            </w:r>
          </w:p>
        </w:tc>
      </w:tr>
    </w:tbl>
    <w:p w14:paraId="3839B492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/>
          <w:iCs/>
          <w:color w:val="5A6373"/>
          <w:sz w:val="19"/>
          <w:szCs w:val="19"/>
        </w:rPr>
        <w:t>以上为静态测算,未计入'敢贷愿贷'指标完成对银行 MPA 考核的间接价值,以及对客户体验提升带来的品牌价值。</w:t>
      </w:r>
    </w:p>
    <w:p w14:paraId="570D0CD9">
      <w:pPr>
        <w:pStyle w:val="2"/>
        <w:pageBreakBefore/>
        <w:spacing w:before="480" w:after="240"/>
      </w:pPr>
      <w:r>
        <w:rPr>
          <w:rFonts w:ascii="黑体" w:hAnsi="黑体" w:eastAsia="黑体" w:cs="黑体"/>
          <w:b/>
          <w:bCs/>
          <w:color w:val="1F3A5F"/>
          <w:sz w:val="40"/>
          <w:szCs w:val="40"/>
        </w:rPr>
        <w:t>第三篇  产品架构与技术能力</w:t>
      </w:r>
    </w:p>
    <w:p w14:paraId="1018A1F7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3.1  四层架构总览</w:t>
      </w:r>
    </w:p>
    <w:p w14:paraId="58BD5D69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智慧信贷智能体平台采用经典的四层架构设计,从下到上分别是数据层、模型层、Agent 层、应用层。这种分层架构的好处是:每一层都可以独立替换升级,不影响其他层;银行可以选择全栈采购,也可以仅采购上层(自带数据)。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3"/>
        <w:gridCol w:w="2816"/>
        <w:gridCol w:w="2659"/>
        <w:gridCol w:w="2846"/>
      </w:tblGrid>
      <w:tr w14:paraId="78CD8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gridSpan w:val="4"/>
            <w:tcBorders>
              <w:top w:val="dashed" w:color="2E75B6" w:sz="8" w:space="0"/>
              <w:left w:val="dashed" w:color="2E75B6" w:sz="8" w:space="0"/>
              <w:bottom w:val="dashed" w:color="2E75B6" w:sz="8" w:space="0"/>
              <w:right w:val="dashed" w:color="2E75B6" w:sz="8" w:space="0"/>
            </w:tcBorders>
            <w:shd w:val="clear" w:color="auto" w:fill="F4F8FB"/>
            <w:tcMar>
              <w:top w:w="320" w:type="dxa"/>
              <w:left w:w="240" w:type="dxa"/>
              <w:bottom w:w="320" w:type="dxa"/>
              <w:right w:w="240" w:type="dxa"/>
            </w:tcMar>
          </w:tcPr>
          <w:p w14:paraId="567C63A3">
            <w:pPr>
              <w:spacing w:before="0" w:after="10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2E75B6"/>
                <w:sz w:val="22"/>
                <w:szCs w:val="22"/>
              </w:rPr>
              <w:t>📊  智慧信贷平台四层架构图</w:t>
            </w:r>
          </w:p>
          <w:p w14:paraId="3D67A0FB">
            <w:pPr>
              <w:spacing w:before="0" w:after="0" w:line="340" w:lineRule="auto"/>
              <w:jc w:val="center"/>
            </w:pPr>
            <w:r>
              <w:drawing>
                <wp:inline distT="0" distB="0" distL="114300" distR="114300">
                  <wp:extent cx="6117590" cy="458787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7590" cy="458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D0A3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431CD9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2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2B271F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核心组件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7D22C5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关键能力</w:t>
            </w:r>
          </w:p>
        </w:tc>
        <w:tc>
          <w:tcPr>
            <w:tcW w:w="2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415D2E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对银行的价值</w:t>
            </w:r>
          </w:p>
        </w:tc>
      </w:tr>
      <w:tr w14:paraId="12595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3D57C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应用层</w:t>
            </w:r>
          </w:p>
        </w:tc>
        <w:tc>
          <w:tcPr>
            <w:tcW w:w="2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8CC12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贷前申请、贷中审批、贷后管理、催收处置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A319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覆盖信贷全周期</w:t>
            </w:r>
          </w:p>
        </w:tc>
        <w:tc>
          <w:tcPr>
            <w:tcW w:w="2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6FB7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可直接交付业务,SaaS 化使用</w:t>
            </w:r>
          </w:p>
        </w:tc>
      </w:tr>
      <w:tr w14:paraId="44B4F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FFEFA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Agent层</w:t>
            </w:r>
          </w:p>
        </w:tc>
        <w:tc>
          <w:tcPr>
            <w:tcW w:w="2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F2564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26 个专业 Agent + SDAFI 编排引擎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EB381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自主分析、综合判断、报告生成</w:t>
            </w:r>
          </w:p>
        </w:tc>
        <w:tc>
          <w:tcPr>
            <w:tcW w:w="2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3638A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AI 驱动的自动化能力</w:t>
            </w:r>
          </w:p>
        </w:tc>
      </w:tr>
      <w:tr w14:paraId="77F5D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05CE8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模型层</w:t>
            </w:r>
          </w:p>
        </w:tc>
        <w:tc>
          <w:tcPr>
            <w:tcW w:w="2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CFE83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五维评分模型 + 五对交叉验证 + 行业模型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058D1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风险评估、异常识别</w:t>
            </w:r>
          </w:p>
        </w:tc>
        <w:tc>
          <w:tcPr>
            <w:tcW w:w="2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E7E3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经过实践检验的风控逻辑</w:t>
            </w:r>
          </w:p>
        </w:tc>
      </w:tr>
      <w:tr w14:paraId="4F06D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CC899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数据层</w:t>
            </w:r>
          </w:p>
        </w:tc>
        <w:tc>
          <w:tcPr>
            <w:tcW w:w="2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CAE6A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公共数据(正菱) + 行业数据 + 企业数据 + 个人数据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39331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300+ 数据维度</w:t>
            </w:r>
          </w:p>
        </w:tc>
        <w:tc>
          <w:tcPr>
            <w:tcW w:w="2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4B8F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数据底座,无需银行自建</w:t>
            </w:r>
          </w:p>
        </w:tc>
      </w:tr>
    </w:tbl>
    <w:p w14:paraId="70A8E299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3.2  数据层:公共数据要素底座</w:t>
      </w:r>
    </w:p>
    <w:p w14:paraId="2D5132CD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数据是平台的基石。我们与珠海正菱(广东省公共数据授权运营机构)深度合作,搭建了覆盖工商、司法、税务、用电、社保、海关、知识产权、反欺诈等 18 大类、323 个 API、近 5,000 个字段的数据基础设施。</w:t>
      </w:r>
    </w:p>
    <w:p w14:paraId="6C15662B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数据资源全景</w:t>
      </w:r>
    </w:p>
    <w:tbl>
      <w:tblPr>
        <w:tblStyle w:val="11"/>
        <w:tblW w:w="9638" w:type="dxa"/>
        <w:tblInd w:w="-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1100"/>
        <w:gridCol w:w="3000"/>
        <w:gridCol w:w="2200"/>
        <w:gridCol w:w="1638"/>
      </w:tblGrid>
      <w:tr w14:paraId="7E5CC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A04EFC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数据大类</w:t>
            </w:r>
          </w:p>
        </w:tc>
        <w:tc>
          <w:tcPr>
            <w:tcW w:w="11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D40F5E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API数量</w:t>
            </w:r>
          </w:p>
        </w:tc>
        <w:tc>
          <w:tcPr>
            <w:tcW w:w="3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F1924C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核心字段示例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6C836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授权要求</w:t>
            </w:r>
          </w:p>
        </w:tc>
        <w:tc>
          <w:tcPr>
            <w:tcW w:w="1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ABDC65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刷新频率</w:t>
            </w:r>
          </w:p>
        </w:tc>
      </w:tr>
      <w:tr w14:paraId="34C05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56133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工商综合</w:t>
            </w:r>
          </w:p>
        </w:tc>
        <w:tc>
          <w:tcPr>
            <w:tcW w:w="11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40AA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89</w:t>
            </w:r>
          </w:p>
        </w:tc>
        <w:tc>
          <w:tcPr>
            <w:tcW w:w="3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5359E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照面/股东/高管/年报/分支/异常等20+维度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779EE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无需(公开数据)</w:t>
            </w:r>
          </w:p>
        </w:tc>
        <w:tc>
          <w:tcPr>
            <w:tcW w:w="1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E3284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实时同步</w:t>
            </w:r>
          </w:p>
        </w:tc>
      </w:tr>
      <w:tr w14:paraId="66643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2FDB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司法涉诉</w:t>
            </w:r>
          </w:p>
        </w:tc>
        <w:tc>
          <w:tcPr>
            <w:tcW w:w="11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FD085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3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0AEA8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失信/限高/破产/裁判文书/开庭等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2E488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无需 / 需个人授权(法人涉诉)</w:t>
            </w:r>
          </w:p>
        </w:tc>
        <w:tc>
          <w:tcPr>
            <w:tcW w:w="1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67888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T+1</w:t>
            </w:r>
          </w:p>
        </w:tc>
      </w:tr>
      <w:tr w14:paraId="4AA5A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C5D77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企业财税</w:t>
            </w:r>
          </w:p>
        </w:tc>
        <w:tc>
          <w:tcPr>
            <w:tcW w:w="11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BBF03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16</w:t>
            </w:r>
          </w:p>
        </w:tc>
        <w:tc>
          <w:tcPr>
            <w:tcW w:w="3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64F22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三大报表/发票/纳税/财税分析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FE283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需企业授权</w:t>
            </w:r>
          </w:p>
        </w:tc>
        <w:tc>
          <w:tcPr>
            <w:tcW w:w="1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DD13E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T+1 月度</w:t>
            </w:r>
          </w:p>
        </w:tc>
      </w:tr>
      <w:tr w14:paraId="36469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4B504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企业用电</w:t>
            </w:r>
          </w:p>
        </w:tc>
        <w:tc>
          <w:tcPr>
            <w:tcW w:w="11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E07D6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 (90字段)</w:t>
            </w:r>
          </w:p>
        </w:tc>
        <w:tc>
          <w:tcPr>
            <w:tcW w:w="3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79F5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稳定性/增长率/停电/减容预警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5A19F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需企业授权</w:t>
            </w:r>
          </w:p>
        </w:tc>
        <w:tc>
          <w:tcPr>
            <w:tcW w:w="1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67C19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月度</w:t>
            </w:r>
          </w:p>
        </w:tc>
      </w:tr>
      <w:tr w14:paraId="2381D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2D2F6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要素核验</w:t>
            </w:r>
          </w:p>
        </w:tc>
        <w:tc>
          <w:tcPr>
            <w:tcW w:w="11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1FBB1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59 (企业+个人)</w:t>
            </w:r>
          </w:p>
        </w:tc>
        <w:tc>
          <w:tcPr>
            <w:tcW w:w="3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91464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身份/手机/银行卡多要素核验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1E456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需个人授权</w:t>
            </w:r>
          </w:p>
        </w:tc>
        <w:tc>
          <w:tcPr>
            <w:tcW w:w="1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E8B41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实时</w:t>
            </w:r>
          </w:p>
        </w:tc>
      </w:tr>
      <w:tr w14:paraId="423AA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B5642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反欺诈</w:t>
            </w:r>
          </w:p>
        </w:tc>
        <w:tc>
          <w:tcPr>
            <w:tcW w:w="11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BB40F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FF6AA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羊毛党/风险手机/涉赌涉诈/黑名单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A8435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需个人授权</w:t>
            </w:r>
          </w:p>
        </w:tc>
        <w:tc>
          <w:tcPr>
            <w:tcW w:w="1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492F0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T+1</w:t>
            </w:r>
          </w:p>
        </w:tc>
      </w:tr>
      <w:tr w14:paraId="55614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6ACC1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社保产品</w:t>
            </w:r>
          </w:p>
        </w:tc>
        <w:tc>
          <w:tcPr>
            <w:tcW w:w="11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87C13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C6CC4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员工人数/社保缴纳/能力评估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623DD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需企业授权</w:t>
            </w:r>
          </w:p>
        </w:tc>
        <w:tc>
          <w:tcPr>
            <w:tcW w:w="1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58850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月度</w:t>
            </w:r>
          </w:p>
        </w:tc>
      </w:tr>
      <w:tr w14:paraId="6B07D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38C75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不动产+车辆</w:t>
            </w:r>
          </w:p>
        </w:tc>
        <w:tc>
          <w:tcPr>
            <w:tcW w:w="11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539B9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10+75</w:t>
            </w:r>
          </w:p>
        </w:tc>
        <w:tc>
          <w:tcPr>
            <w:tcW w:w="3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EF42E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权证/查封/抵押 + 车辆估值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A7813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需个人授权</w:t>
            </w:r>
          </w:p>
        </w:tc>
        <w:tc>
          <w:tcPr>
            <w:tcW w:w="1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43B45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实时</w:t>
            </w:r>
          </w:p>
        </w:tc>
      </w:tr>
      <w:tr w14:paraId="68E93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384A7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知识产权</w:t>
            </w:r>
          </w:p>
        </w:tc>
        <w:tc>
          <w:tcPr>
            <w:tcW w:w="11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2B7F6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7E33F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专利/商标/著作权/域名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F967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无需</w:t>
            </w:r>
          </w:p>
        </w:tc>
        <w:tc>
          <w:tcPr>
            <w:tcW w:w="1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04653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T+1</w:t>
            </w:r>
          </w:p>
        </w:tc>
      </w:tr>
      <w:tr w14:paraId="10F68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F6A9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烟草数据</w:t>
            </w:r>
          </w:p>
        </w:tc>
        <w:tc>
          <w:tcPr>
            <w:tcW w:w="11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E7ABB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B60A0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烟草零售户订单/额度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B7511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无需(行业公开)</w:t>
            </w:r>
          </w:p>
        </w:tc>
        <w:tc>
          <w:tcPr>
            <w:tcW w:w="1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81AAD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月度</w:t>
            </w:r>
          </w:p>
        </w:tc>
      </w:tr>
      <w:tr w14:paraId="29DFA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30A56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电商数据</w:t>
            </w:r>
          </w:p>
        </w:tc>
        <w:tc>
          <w:tcPr>
            <w:tcW w:w="11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CB9F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447C0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电商个体户零售/店铺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DCA78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需经营者授权</w:t>
            </w:r>
          </w:p>
        </w:tc>
        <w:tc>
          <w:tcPr>
            <w:tcW w:w="1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A1A54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月度</w:t>
            </w:r>
          </w:p>
        </w:tc>
      </w:tr>
      <w:tr w14:paraId="48137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33D09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其他类目</w:t>
            </w:r>
          </w:p>
        </w:tc>
        <w:tc>
          <w:tcPr>
            <w:tcW w:w="11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21266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60+</w:t>
            </w:r>
          </w:p>
        </w:tc>
        <w:tc>
          <w:tcPr>
            <w:tcW w:w="3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BC735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婚姻/HR/AI智能等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5E04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依类目而定</w:t>
            </w:r>
          </w:p>
        </w:tc>
        <w:tc>
          <w:tcPr>
            <w:tcW w:w="1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BCA1B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</w:tr>
      <w:tr w14:paraId="61A23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gridSpan w:val="5"/>
            <w:tcBorders>
              <w:top w:val="single" w:color="C0392B" w:sz="12" w:space="0"/>
              <w:left w:val="single" w:color="C0392B" w:sz="12" w:space="0"/>
              <w:bottom w:val="single" w:color="C0392B" w:sz="12" w:space="0"/>
              <w:right w:val="single" w:color="C0392B" w:sz="12" w:space="0"/>
            </w:tcBorders>
            <w:shd w:val="clear" w:color="auto" w:fill="FAFAF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DB2AC78">
            <w:pPr>
              <w:spacing w:before="0" w:after="80" w:line="340" w:lineRule="auto"/>
              <w:jc w:val="both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C0392B"/>
                <w:sz w:val="24"/>
                <w:szCs w:val="24"/>
              </w:rPr>
              <w:t>▎</w:t>
            </w: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C0392B"/>
                <w:sz w:val="22"/>
                <w:szCs w:val="22"/>
              </w:rPr>
              <w:t xml:space="preserve"> 数据合规底线</w:t>
            </w:r>
          </w:p>
          <w:p w14:paraId="19F23AF0">
            <w:pPr>
              <w:spacing w:before="0" w:after="0" w:line="340" w:lineRule="auto"/>
              <w:jc w:val="both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1F2937"/>
                <w:sz w:val="21"/>
                <w:szCs w:val="21"/>
              </w:rPr>
              <w:t>凡涉及个人信息或企业敏感经营数据的 API 调用,均通过严格的授权链条(电子签约 + 实人核身)取得授权,授权过程全程留痕,客户可随时撤回授权。这是产品的合规生命线。</w:t>
            </w:r>
          </w:p>
        </w:tc>
      </w:tr>
    </w:tbl>
    <w:p w14:paraId="30A504E1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数据使用三原则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12"/>
        <w:gridCol w:w="3213"/>
        <w:gridCol w:w="3213"/>
      </w:tblGrid>
      <w:tr w14:paraId="1E2F5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12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DCE6F1"/>
            <w:tcMar>
              <w:top w:w="240" w:type="dxa"/>
              <w:left w:w="200" w:type="dxa"/>
              <w:bottom w:w="240" w:type="dxa"/>
              <w:right w:w="200" w:type="dxa"/>
            </w:tcMar>
            <w:vAlign w:val="top"/>
          </w:tcPr>
          <w:p w14:paraId="082D19D2">
            <w:pPr>
              <w:spacing w:before="0" w:after="10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1F3A5F"/>
                <w:sz w:val="28"/>
                <w:szCs w:val="28"/>
              </w:rPr>
              <w:t>✓</w:t>
            </w:r>
          </w:p>
          <w:p w14:paraId="48BB4905">
            <w:pPr>
              <w:spacing w:before="0" w:after="10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1F3A5F"/>
                <w:sz w:val="22"/>
                <w:szCs w:val="22"/>
              </w:rPr>
              <w:t>最小必要</w:t>
            </w:r>
          </w:p>
          <w:p w14:paraId="7FB7E9A2">
            <w:pPr>
              <w:spacing w:before="0" w:after="0"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5A6373"/>
                <w:sz w:val="19"/>
                <w:szCs w:val="19"/>
              </w:rPr>
              <w:t>仅调用授信决策必需的数据 API,不超范围采集。系统对每个 API 的调用都有审计记录。</w:t>
            </w:r>
          </w:p>
        </w:tc>
        <w:tc>
          <w:tcPr>
            <w:tcW w:w="3212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D9F2EC"/>
            <w:tcMar>
              <w:top w:w="240" w:type="dxa"/>
              <w:left w:w="200" w:type="dxa"/>
              <w:bottom w:w="240" w:type="dxa"/>
              <w:right w:w="200" w:type="dxa"/>
            </w:tcMar>
            <w:vAlign w:val="top"/>
          </w:tcPr>
          <w:p w14:paraId="59D4DDDE">
            <w:pPr>
              <w:spacing w:before="0" w:after="10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A99D"/>
                <w:sz w:val="28"/>
                <w:szCs w:val="28"/>
              </w:rPr>
              <w:t>✓</w:t>
            </w:r>
          </w:p>
          <w:p w14:paraId="683286E4">
            <w:pPr>
              <w:spacing w:before="0" w:after="10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A99D"/>
                <w:sz w:val="22"/>
                <w:szCs w:val="22"/>
              </w:rPr>
              <w:t>明示授权</w:t>
            </w:r>
          </w:p>
          <w:p w14:paraId="65B127B1">
            <w:pPr>
              <w:spacing w:before="0" w:after="0"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5A6373"/>
                <w:sz w:val="19"/>
                <w:szCs w:val="19"/>
              </w:rPr>
              <w:t>所有需授权数据均通过电子签约获得明确授权,授权范围、期限、可撤回机制清晰告知。</w:t>
            </w:r>
          </w:p>
        </w:tc>
        <w:tc>
          <w:tcPr>
            <w:tcW w:w="3212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CEFE0"/>
            <w:tcMar>
              <w:top w:w="240" w:type="dxa"/>
              <w:left w:w="200" w:type="dxa"/>
              <w:bottom w:w="240" w:type="dxa"/>
              <w:right w:w="200" w:type="dxa"/>
            </w:tcMar>
            <w:vAlign w:val="top"/>
          </w:tcPr>
          <w:p w14:paraId="6E2C8392">
            <w:pPr>
              <w:spacing w:before="0" w:after="10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E8843C"/>
                <w:sz w:val="28"/>
                <w:szCs w:val="28"/>
              </w:rPr>
              <w:t>✓</w:t>
            </w:r>
          </w:p>
          <w:p w14:paraId="1EFE4248">
            <w:pPr>
              <w:spacing w:before="0" w:after="10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E8843C"/>
                <w:sz w:val="22"/>
                <w:szCs w:val="22"/>
              </w:rPr>
              <w:t>全程留痕</w:t>
            </w:r>
          </w:p>
          <w:p w14:paraId="42142FB1">
            <w:pPr>
              <w:spacing w:before="0" w:after="0"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5A6373"/>
                <w:sz w:val="19"/>
                <w:szCs w:val="19"/>
              </w:rPr>
              <w:t>数据请求、返回、处理、销毁全过程日志保存,可应监管核查和客户审计要求。</w:t>
            </w:r>
          </w:p>
        </w:tc>
      </w:tr>
    </w:tbl>
    <w:p w14:paraId="759AC059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3.3  模型层:五维评分 + 五对交叉验证</w:t>
      </w:r>
    </w:p>
    <w:p w14:paraId="40577095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模型层是产品的'风控大脑',负责把数据转化为可量化的风险判断。我们针对法人小微和个体工商户分别设计了不同的评分模型。</w:t>
      </w:r>
    </w:p>
    <w:p w14:paraId="3656C68A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法人小微:五维评分模型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800"/>
        <w:gridCol w:w="3300"/>
        <w:gridCol w:w="3638"/>
      </w:tblGrid>
      <w:tr w14:paraId="177EF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D700F3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评分维度</w:t>
            </w:r>
          </w:p>
        </w:tc>
        <w:tc>
          <w:tcPr>
            <w:tcW w:w="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4CB4B5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权重</w:t>
            </w:r>
          </w:p>
        </w:tc>
        <w:tc>
          <w:tcPr>
            <w:tcW w:w="3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9D335E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核心子指标</w:t>
            </w:r>
          </w:p>
        </w:tc>
        <w:tc>
          <w:tcPr>
            <w:tcW w:w="3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328E4A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对应 API 接口</w:t>
            </w:r>
          </w:p>
        </w:tc>
      </w:tr>
      <w:tr w14:paraId="3C778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84EF4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维度一:经营稳定性</w:t>
            </w:r>
          </w:p>
        </w:tc>
        <w:tc>
          <w:tcPr>
            <w:tcW w:w="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8B385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3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69841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注册年限 / 纳税信用 / 社保人数 / 用电稳定 / 招聘活跃</w:t>
            </w:r>
          </w:p>
        </w:tc>
        <w:tc>
          <w:tcPr>
            <w:tcW w:w="3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8B341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工商基本信息 / 纳税信用 / 社保综合 / 用电标签 / 招聘</w:t>
            </w:r>
          </w:p>
        </w:tc>
      </w:tr>
      <w:tr w14:paraId="37751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F6C8F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维度二:财务健康度</w:t>
            </w:r>
          </w:p>
        </w:tc>
        <w:tc>
          <w:tcPr>
            <w:tcW w:w="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71ABF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3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3DB18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资产负债率 / 净利率 / 营收增长 / 发票验证 / 现金流</w:t>
            </w:r>
          </w:p>
        </w:tc>
        <w:tc>
          <w:tcPr>
            <w:tcW w:w="3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A5926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核心财务指标 / API发票+纳税 / 财务基础</w:t>
            </w:r>
          </w:p>
        </w:tc>
      </w:tr>
      <w:tr w14:paraId="6ECA0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E21DA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维度三:履约能力</w:t>
            </w:r>
          </w:p>
        </w:tc>
        <w:tc>
          <w:tcPr>
            <w:tcW w:w="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F69F9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3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8E598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招投标中标率 / 反欺诈 / 多头借贷 / 融资历史 / 资产验证</w:t>
            </w:r>
          </w:p>
        </w:tc>
        <w:tc>
          <w:tcPr>
            <w:tcW w:w="3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243E8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招投标 / 供应链反欺诈 / 多机构查询 / 融资综合</w:t>
            </w:r>
          </w:p>
        </w:tc>
      </w:tr>
      <w:tr w14:paraId="09F5C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B8549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维度四:合规性</w:t>
            </w:r>
          </w:p>
        </w:tc>
        <w:tc>
          <w:tcPr>
            <w:tcW w:w="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E13D0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3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AA69B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涉诉 / 处罚 / 风险标签 / 空壳判定 / 法人合规</w:t>
            </w:r>
          </w:p>
        </w:tc>
        <w:tc>
          <w:tcPr>
            <w:tcW w:w="3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7E78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综合涉诉 / 行政处罚 / 风险标签 / 疑似空壳</w:t>
            </w:r>
          </w:p>
        </w:tc>
      </w:tr>
      <w:tr w14:paraId="0A3DF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3F5F7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维度五:成长性</w:t>
            </w:r>
          </w:p>
        </w:tc>
        <w:tc>
          <w:tcPr>
            <w:tcW w:w="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43224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5%</w:t>
            </w:r>
          </w:p>
        </w:tc>
        <w:tc>
          <w:tcPr>
            <w:tcW w:w="3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8367A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知识产权 / 对外投资 / 产能增长 / 外部评级</w:t>
            </w:r>
          </w:p>
        </w:tc>
        <w:tc>
          <w:tcPr>
            <w:tcW w:w="3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F0BA7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专利商标 / 对外投资 / 用电同比 / 外部评级</w:t>
            </w:r>
          </w:p>
        </w:tc>
      </w:tr>
    </w:tbl>
    <w:p w14:paraId="01FC8C96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个体工商户:四维评分模型</w:t>
      </w:r>
    </w:p>
    <w:p w14:paraId="372F5B70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个体工商户'人即企业',个人信用即企业信用,因此评分模型与法人版有本质差异: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800"/>
        <w:gridCol w:w="3300"/>
        <w:gridCol w:w="3138"/>
      </w:tblGrid>
      <w:tr w14:paraId="5BDF3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4BD375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评分维度</w:t>
            </w:r>
          </w:p>
        </w:tc>
        <w:tc>
          <w:tcPr>
            <w:tcW w:w="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4F10E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权重</w:t>
            </w:r>
          </w:p>
        </w:tc>
        <w:tc>
          <w:tcPr>
            <w:tcW w:w="3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ECF7DF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核心子指标</w:t>
            </w:r>
          </w:p>
        </w:tc>
        <w:tc>
          <w:tcPr>
            <w:tcW w:w="31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C7127A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对应 API 接口</w:t>
            </w:r>
          </w:p>
        </w:tc>
      </w:tr>
      <w:tr w14:paraId="28835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FA39C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维度一:经营者个人信用画像</w:t>
            </w:r>
          </w:p>
        </w:tc>
        <w:tc>
          <w:tcPr>
            <w:tcW w:w="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9C52B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35%</w:t>
            </w:r>
          </w:p>
        </w:tc>
        <w:tc>
          <w:tcPr>
            <w:tcW w:w="3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8AFB9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信用总分 / 还款能力 / 逾期风险 / 多头借贷 / 不良行为</w:t>
            </w:r>
          </w:p>
        </w:tc>
        <w:tc>
          <w:tcPr>
            <w:tcW w:w="31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A87ED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信用预测评分A / 还款能力测评 / 逾选指数 / 借贷意向验证</w:t>
            </w:r>
          </w:p>
        </w:tc>
      </w:tr>
      <w:tr w14:paraId="3BBE7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088E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维度二:经济能力与资产</w:t>
            </w:r>
          </w:p>
        </w:tc>
        <w:tc>
          <w:tcPr>
            <w:tcW w:w="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5DCB1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3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AE469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收入水平 / 消费稳定 / 个税记录 / 不动产 / 车辆</w:t>
            </w:r>
          </w:p>
        </w:tc>
        <w:tc>
          <w:tcPr>
            <w:tcW w:w="31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0A7BC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经济能力预测A/B / 个税 / 不动产 / 名下车辆</w:t>
            </w:r>
          </w:p>
        </w:tc>
      </w:tr>
      <w:tr w14:paraId="792AC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FDAF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维度三:经营存续与真实性</w:t>
            </w:r>
          </w:p>
        </w:tc>
        <w:tc>
          <w:tcPr>
            <w:tcW w:w="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5CDCD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3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3E14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工商年限 / 关联企业 / 手机稳定 / 地址验真 / 行业数据</w:t>
            </w:r>
          </w:p>
        </w:tc>
        <w:tc>
          <w:tcPr>
            <w:tcW w:w="31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EB3F5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工商基本信息 / 个人工商 / 手机在网时长 / 地址核验 / 烟草电商</w:t>
            </w:r>
          </w:p>
        </w:tc>
      </w:tr>
      <w:tr w14:paraId="2E5E8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DA7EA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维度四:合规与社会稳定性</w:t>
            </w:r>
          </w:p>
        </w:tc>
        <w:tc>
          <w:tcPr>
            <w:tcW w:w="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3548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3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54DF8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涉诉 / 处罚 / 婚姻 / 社保 / 手机欠停 / 涉赌涉诈</w:t>
            </w:r>
          </w:p>
        </w:tc>
        <w:tc>
          <w:tcPr>
            <w:tcW w:w="31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D4C7D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个人综合涉诉 / 行政处罚 / 婚姻核验 / 社保评分</w:t>
            </w:r>
          </w:p>
        </w:tc>
      </w:tr>
    </w:tbl>
    <w:p w14:paraId="098ED4EB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五对交叉验证(法人版)</w:t>
      </w:r>
    </w:p>
    <w:p w14:paraId="14096AB4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评分卡的核心局限是'每个维度独立评分,无法识别维度间的内在矛盾'。我们设计的'五对交叉验证'专门解决这个问题——每对验证从两个独立数据源比对同一个事实,识别造假信号:</w:t>
      </w:r>
    </w:p>
    <w:tbl>
      <w:tblPr>
        <w:tblStyle w:val="11"/>
        <w:tblW w:w="9638" w:type="dxa"/>
        <w:tblInd w:w="-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200"/>
        <w:gridCol w:w="2200"/>
        <w:gridCol w:w="1700"/>
        <w:gridCol w:w="1838"/>
      </w:tblGrid>
      <w:tr w14:paraId="21C36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BEE6DD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验证对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350C82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数据源 A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30AD8F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数据源 B</w:t>
            </w:r>
          </w:p>
        </w:tc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BFB39A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异常信号</w:t>
            </w:r>
          </w:p>
        </w:tc>
        <w:tc>
          <w:tcPr>
            <w:tcW w:w="18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A50D35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对应风险</w:t>
            </w:r>
          </w:p>
        </w:tc>
      </w:tr>
      <w:tr w14:paraId="76623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494F6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纳税×用电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E6F27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纳税基础信息(月度)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E917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用电标签(月度)</w:t>
            </w:r>
          </w:p>
        </w:tc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C676E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偏差&gt;40%</w:t>
            </w:r>
          </w:p>
        </w:tc>
        <w:tc>
          <w:tcPr>
            <w:tcW w:w="18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E38D0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财务造假 / 经营异动</w:t>
            </w:r>
          </w:p>
        </w:tc>
      </w:tr>
      <w:tr w14:paraId="44D1F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7A00E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发票×营收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0EDD6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API发票(月度销项)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9BFFB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核心财务指标(年报营收)</w:t>
            </w:r>
          </w:p>
        </w:tc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10125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差异&gt;30%</w:t>
            </w:r>
          </w:p>
        </w:tc>
        <w:tc>
          <w:tcPr>
            <w:tcW w:w="18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3834C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粉饰报表 / 虚开发票</w:t>
            </w:r>
          </w:p>
        </w:tc>
      </w:tr>
      <w:tr w14:paraId="2F1FD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1B38B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社保×年报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2FBF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社保实缴人数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85B6A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年报自报人数</w:t>
            </w:r>
          </w:p>
        </w:tc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D74D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差异&gt;50%</w:t>
            </w:r>
          </w:p>
        </w:tc>
        <w:tc>
          <w:tcPr>
            <w:tcW w:w="18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5D31B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规模虚报</w:t>
            </w:r>
          </w:p>
        </w:tc>
      </w:tr>
      <w:tr w14:paraId="7D1DF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F7F72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反欺诈×发票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48982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供应链反欺诈结论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A52CF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API发票上下游</w:t>
            </w:r>
          </w:p>
        </w:tc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D120E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闭环交易&gt;20%</w:t>
            </w:r>
          </w:p>
        </w:tc>
        <w:tc>
          <w:tcPr>
            <w:tcW w:w="18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739EB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虚构贸易 / 关联交易</w:t>
            </w:r>
          </w:p>
        </w:tc>
      </w:tr>
      <w:tr w14:paraId="7084F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65AC5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多头×融资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0D440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多机构查询(短时)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AB393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融资综合查询</w:t>
            </w:r>
          </w:p>
        </w:tc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5E4B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高频查询低批准率</w:t>
            </w:r>
          </w:p>
        </w:tc>
        <w:tc>
          <w:tcPr>
            <w:tcW w:w="18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33975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资金链紧张</w:t>
            </w:r>
          </w:p>
        </w:tc>
      </w:tr>
      <w:tr w14:paraId="5A806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gridSpan w:val="5"/>
            <w:tcBorders>
              <w:top w:val="single" w:color="00A99D" w:sz="12" w:space="0"/>
              <w:left w:val="single" w:color="00A99D" w:sz="12" w:space="0"/>
              <w:bottom w:val="single" w:color="00A99D" w:sz="12" w:space="0"/>
              <w:right w:val="single" w:color="00A99D" w:sz="12" w:space="0"/>
            </w:tcBorders>
            <w:shd w:val="clear" w:color="auto" w:fill="FAFAF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0286861">
            <w:pPr>
              <w:spacing w:before="0" w:after="80" w:line="340" w:lineRule="auto"/>
              <w:jc w:val="both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A99D"/>
                <w:sz w:val="24"/>
                <w:szCs w:val="24"/>
              </w:rPr>
              <w:t>▎</w:t>
            </w: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A99D"/>
                <w:sz w:val="22"/>
                <w:szCs w:val="22"/>
              </w:rPr>
              <w:t xml:space="preserve"> 五对交叉验证的实战价值</w:t>
            </w:r>
          </w:p>
          <w:p w14:paraId="67A49CA1">
            <w:pPr>
              <w:spacing w:before="0" w:after="0" w:line="340" w:lineRule="auto"/>
              <w:jc w:val="both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1F2937"/>
                <w:sz w:val="21"/>
                <w:szCs w:val="21"/>
              </w:rPr>
              <w:t>基于</w:t>
            </w:r>
            <w:r>
              <w:rPr>
                <w:rFonts w:hint="eastAsia" w:cs="宋体"/>
                <w:b w:val="0"/>
                <w:bCs w:val="0"/>
                <w:i w:val="0"/>
                <w:iCs w:val="0"/>
                <w:color w:val="1F2937"/>
                <w:sz w:val="21"/>
                <w:szCs w:val="21"/>
                <w:lang w:eastAsia="zh-CN"/>
              </w:rPr>
              <w:t>金智维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1F2937"/>
                <w:sz w:val="21"/>
                <w:szCs w:val="21"/>
              </w:rPr>
              <w:t>在多个批量授信项目中累计 50,000+ 样本的内部回测数据,五对交叉验证识别出的'高风险样本'最终违约率达到 8.7%,而其它经过五维评分通过的样本违约率仅为 0.4%——这意味着,通过这一道'交叉验证关',我们额外识别出了约 20 倍密度的高风险客户,显著提升了风控效率。</w:t>
            </w:r>
          </w:p>
        </w:tc>
      </w:tr>
    </w:tbl>
    <w:p w14:paraId="4B6681EC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3.4  Agent 层:18+8 个专业智能体</w:t>
      </w:r>
    </w:p>
    <w:p w14:paraId="48C41E6E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如果说模型层是'风控大脑',Agent 层就是'专业团队'。我们针对法人尽调和个体户尽调分别设计了 18 个和 8 个专业 Agent,每个 Agent 对应人类客户经理的一项专业能力。</w:t>
      </w:r>
    </w:p>
    <w:p w14:paraId="77A5059E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法人版 18 个 Agent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000"/>
        <w:gridCol w:w="3438"/>
      </w:tblGrid>
      <w:tr w14:paraId="500BF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A8F4A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Agent ID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445421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Agent 名称</w:t>
            </w:r>
          </w:p>
        </w:tc>
        <w:tc>
          <w:tcPr>
            <w:tcW w:w="34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F7B7E2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对应人类角色</w:t>
            </w:r>
          </w:p>
        </w:tc>
      </w:tr>
      <w:tr w14:paraId="15E74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44308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LE-A01-A02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D06FF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核心风险点 / 授信结构</w:t>
            </w:r>
          </w:p>
        </w:tc>
        <w:tc>
          <w:tcPr>
            <w:tcW w:w="34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5A4C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信审委员秘书</w:t>
            </w:r>
          </w:p>
        </w:tc>
      </w:tr>
      <w:tr w14:paraId="51097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06442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LE-A03-A06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91FF7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企业沿革 / 商业模式 / 实控人画像 / 关联方分析</w:t>
            </w:r>
          </w:p>
        </w:tc>
        <w:tc>
          <w:tcPr>
            <w:tcW w:w="34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373A9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公司金融客户经理</w:t>
            </w:r>
          </w:p>
        </w:tc>
      </w:tr>
      <w:tr w14:paraId="55021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A6C1B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LE-A07-A10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5A8E6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行业分析 / 政策分析 / 上下游分析 / SWOT</w:t>
            </w:r>
          </w:p>
        </w:tc>
        <w:tc>
          <w:tcPr>
            <w:tcW w:w="34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2BC9E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行业研究员</w:t>
            </w:r>
          </w:p>
        </w:tc>
      </w:tr>
      <w:tr w14:paraId="1FAA9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15A20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LE-A11-A15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02759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资产负债 / 盈利 / 现金流 / 发票 / 财务诊断</w:t>
            </w:r>
          </w:p>
        </w:tc>
        <w:tc>
          <w:tcPr>
            <w:tcW w:w="34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F243D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财务分析师</w:t>
            </w:r>
          </w:p>
        </w:tc>
      </w:tr>
      <w:tr w14:paraId="2724C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B8769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LE-A16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8A869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交叉验证综合</w:t>
            </w:r>
          </w:p>
        </w:tc>
        <w:tc>
          <w:tcPr>
            <w:tcW w:w="34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A73F9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风控总监</w:t>
            </w:r>
          </w:p>
        </w:tc>
      </w:tr>
      <w:tr w14:paraId="5C29B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11813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LE-A17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8BB42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还款能力测算</w:t>
            </w:r>
          </w:p>
        </w:tc>
        <w:tc>
          <w:tcPr>
            <w:tcW w:w="34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809F6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授信审批官</w:t>
            </w:r>
          </w:p>
        </w:tc>
      </w:tr>
      <w:tr w14:paraId="1E8F6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0A478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LE-A18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6C277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风险地图</w:t>
            </w:r>
          </w:p>
        </w:tc>
        <w:tc>
          <w:tcPr>
            <w:tcW w:w="34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ABDD1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风险管理总监</w:t>
            </w:r>
          </w:p>
        </w:tc>
      </w:tr>
    </w:tbl>
    <w:p w14:paraId="64E5C73C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个体户版 8 个 Agent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000"/>
        <w:gridCol w:w="3438"/>
      </w:tblGrid>
      <w:tr w14:paraId="2E3E3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4DFAEF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Agent ID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FDB1E6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Agent 名称</w:t>
            </w:r>
          </w:p>
        </w:tc>
        <w:tc>
          <w:tcPr>
            <w:tcW w:w="34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F88646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对应人类角色</w:t>
            </w:r>
          </w:p>
        </w:tc>
      </w:tr>
      <w:tr w14:paraId="06686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4D264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SP-A01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035A8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核心风险点</w:t>
            </w:r>
          </w:p>
        </w:tc>
        <w:tc>
          <w:tcPr>
            <w:tcW w:w="34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DB3E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审批官秘书</w:t>
            </w:r>
          </w:p>
        </w:tc>
      </w:tr>
      <w:tr w14:paraId="1BB79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802EE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SP-A02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ED413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经营者画像</w:t>
            </w:r>
          </w:p>
        </w:tc>
        <w:tc>
          <w:tcPr>
            <w:tcW w:w="34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441A3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客户经理</w:t>
            </w:r>
          </w:p>
        </w:tc>
      </w:tr>
      <w:tr w14:paraId="45CC9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784B0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SP-A03-A04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8E3D3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经营真实性 / 店铺经营分析</w:t>
            </w:r>
          </w:p>
        </w:tc>
        <w:tc>
          <w:tcPr>
            <w:tcW w:w="34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8254B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实地走访员</w:t>
            </w:r>
          </w:p>
        </w:tc>
      </w:tr>
      <w:tr w14:paraId="1B8C4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ACB40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SP-A05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91732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还款来源测算</w:t>
            </w:r>
          </w:p>
        </w:tc>
        <w:tc>
          <w:tcPr>
            <w:tcW w:w="34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1EFE5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审批官</w:t>
            </w:r>
          </w:p>
        </w:tc>
      </w:tr>
      <w:tr w14:paraId="6F8B7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1D52E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SP-A06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A82C5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反欺诈综合分析</w:t>
            </w:r>
          </w:p>
        </w:tc>
        <w:tc>
          <w:tcPr>
            <w:tcW w:w="34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B2C0D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反欺诈专员</w:t>
            </w:r>
          </w:p>
        </w:tc>
      </w:tr>
      <w:tr w14:paraId="44FFF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DA021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SP-A07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4E11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风险地图</w:t>
            </w:r>
          </w:p>
        </w:tc>
        <w:tc>
          <w:tcPr>
            <w:tcW w:w="34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72EF3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风控经理</w:t>
            </w:r>
          </w:p>
        </w:tc>
      </w:tr>
      <w:tr w14:paraId="61056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08A50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SP-A08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6A5E8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(可选)行业景气分析</w:t>
            </w:r>
          </w:p>
        </w:tc>
        <w:tc>
          <w:tcPr>
            <w:tcW w:w="34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00A45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行业研究员</w:t>
            </w:r>
          </w:p>
        </w:tc>
      </w:tr>
    </w:tbl>
    <w:p w14:paraId="1E6FD491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Agent 编排:6 阶段流水线</w:t>
      </w:r>
    </w:p>
    <w:p w14:paraId="73D51CCD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Agent 之间存在依赖关系(如'核心风险点Agent'依赖所有其它 Agent 的输出),编排引擎采用 6 阶段并行流水线设计: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14"/>
      </w:tblGrid>
      <w:tr w14:paraId="15B3C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dashed" w:color="2E75B6" w:sz="8" w:space="0"/>
              <w:left w:val="dashed" w:color="2E75B6" w:sz="8" w:space="0"/>
              <w:bottom w:val="dashed" w:color="2E75B6" w:sz="8" w:space="0"/>
              <w:right w:val="dashed" w:color="2E75B6" w:sz="8" w:space="0"/>
            </w:tcBorders>
            <w:shd w:val="clear" w:color="auto" w:fill="F4F8FB"/>
            <w:tcMar>
              <w:top w:w="320" w:type="dxa"/>
              <w:left w:w="240" w:type="dxa"/>
              <w:bottom w:w="320" w:type="dxa"/>
              <w:right w:w="240" w:type="dxa"/>
            </w:tcMar>
          </w:tcPr>
          <w:p w14:paraId="4BB56B1A">
            <w:pPr>
              <w:spacing w:before="0" w:after="10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2E75B6"/>
                <w:sz w:val="22"/>
                <w:szCs w:val="22"/>
              </w:rPr>
              <w:t>📊  Agent 调用编排流水线</w:t>
            </w:r>
          </w:p>
          <w:p w14:paraId="42894639">
            <w:pPr>
              <w:spacing w:before="0" w:after="0" w:line="340" w:lineRule="auto"/>
              <w:jc w:val="center"/>
            </w:pPr>
            <w:r>
              <w:drawing>
                <wp:inline distT="0" distB="0" distL="114300" distR="114300">
                  <wp:extent cx="6117590" cy="492760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7590" cy="492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A32E9F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优化后,法人版报告 8-12 分钟生成,个体户版 4-6 分钟生成,远低于人工 2-3 天的水平。</w:t>
      </w:r>
    </w:p>
    <w:p w14:paraId="708CCA56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典型 Agent 工作机制详解</w:t>
      </w:r>
    </w:p>
    <w:p w14:paraId="587A4FB3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为了让读者更直观地理解 Agent 的工作方式,我们以法人版的几个典型 Agent 为例,展示它们的内部运作机制。</w:t>
      </w:r>
    </w:p>
    <w:p w14:paraId="2BF1BC68">
      <w:pPr>
        <w:spacing w:before="200" w:after="100"/>
      </w:pPr>
      <w:r>
        <w:rPr>
          <w:rFonts w:ascii="黑体" w:hAnsi="黑体" w:eastAsia="黑体" w:cs="黑体"/>
          <w:b/>
          <w:bCs/>
          <w:color w:val="5A6373"/>
          <w:sz w:val="22"/>
          <w:szCs w:val="22"/>
        </w:rPr>
        <w:t>案例 Agent 一:LE-A05 实控人画像 Agent</w:t>
      </w:r>
    </w:p>
    <w:p w14:paraId="67117D69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这个 Agent 模拟一名经验丰富的客户经理,为目标企业的法定代表人/实际控制人构建多维度画像。它的工作流程如下: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400"/>
        <w:gridCol w:w="3300"/>
        <w:gridCol w:w="3138"/>
      </w:tblGrid>
      <w:tr w14:paraId="114AF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2C7A2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0CEF7B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动作</w:t>
            </w:r>
          </w:p>
        </w:tc>
        <w:tc>
          <w:tcPr>
            <w:tcW w:w="3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6A29AE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调用的 API / 工具</w:t>
            </w:r>
          </w:p>
        </w:tc>
        <w:tc>
          <w:tcPr>
            <w:tcW w:w="31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C30DF3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输出</w:t>
            </w:r>
          </w:p>
        </w:tc>
      </w:tr>
      <w:tr w14:paraId="17021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4740D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D47D9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采集法人基础信息</w:t>
            </w:r>
          </w:p>
        </w:tc>
        <w:tc>
          <w:tcPr>
            <w:tcW w:w="3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BFEEC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身份二要素核验 + 手机号综合认证</w:t>
            </w:r>
          </w:p>
        </w:tc>
        <w:tc>
          <w:tcPr>
            <w:tcW w:w="31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94829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身份核验结果</w:t>
            </w:r>
          </w:p>
        </w:tc>
      </w:tr>
      <w:tr w14:paraId="19EED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F685B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19428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查询法人涉诉历史</w:t>
            </w:r>
          </w:p>
        </w:tc>
        <w:tc>
          <w:tcPr>
            <w:tcW w:w="3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B8F11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个人综合涉诉(全量版+标准模型)</w:t>
            </w:r>
          </w:p>
        </w:tc>
        <w:tc>
          <w:tcPr>
            <w:tcW w:w="31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7C10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涉诉案件清单 + 风险等级</w:t>
            </w:r>
          </w:p>
        </w:tc>
      </w:tr>
      <w:tr w14:paraId="0BD0B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15A9C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D37F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查询法人对外投资</w:t>
            </w:r>
          </w:p>
        </w:tc>
        <w:tc>
          <w:tcPr>
            <w:tcW w:w="3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93C57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法定代表人对外投资 + 任职查询</w:t>
            </w:r>
          </w:p>
        </w:tc>
        <w:tc>
          <w:tcPr>
            <w:tcW w:w="31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870BB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关联企业列表 + 任职情况</w:t>
            </w:r>
          </w:p>
        </w:tc>
      </w:tr>
      <w:tr w14:paraId="07B07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B7A16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874F4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查询法人限高/失信</w:t>
            </w:r>
          </w:p>
        </w:tc>
        <w:tc>
          <w:tcPr>
            <w:tcW w:w="3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3E96C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限制高消费 + 失信公告</w:t>
            </w:r>
          </w:p>
        </w:tc>
        <w:tc>
          <w:tcPr>
            <w:tcW w:w="31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DEB5A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个人不良信用记录</w:t>
            </w:r>
          </w:p>
        </w:tc>
      </w:tr>
      <w:tr w14:paraId="196E9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73D0C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70D0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推理:综合分析</w:t>
            </w:r>
          </w:p>
        </w:tc>
        <w:tc>
          <w:tcPr>
            <w:tcW w:w="3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15DEB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大模型推理(国产合规)</w:t>
            </w:r>
          </w:p>
        </w:tc>
        <w:tc>
          <w:tcPr>
            <w:tcW w:w="31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82749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结构化人物画像</w:t>
            </w:r>
          </w:p>
        </w:tc>
      </w:tr>
      <w:tr w14:paraId="50B88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92F37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5A9E2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输出:格式化报告</w:t>
            </w:r>
          </w:p>
        </w:tc>
        <w:tc>
          <w:tcPr>
            <w:tcW w:w="3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63D4D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模板填充</w:t>
            </w:r>
          </w:p>
        </w:tc>
        <w:tc>
          <w:tcPr>
            <w:tcW w:w="31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4CC96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5 段式画像报告 600-1000 字</w:t>
            </w:r>
          </w:p>
        </w:tc>
      </w:tr>
    </w:tbl>
    <w:p w14:paraId="673E6919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关键点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:Agent 不仅仅是'调用 API + 拼接结果',而是能基于多源数据做综合推理。例如,如果一个法人的对外投资全部是已注销企业、个人涉诉有 5 起以上民事案件、近期被限高,Agent 会综合判断这是一个'连续创业失败 + 信用恶化中'的高风险法人,而不仅仅是把这些数据简单罗列。</w:t>
      </w:r>
    </w:p>
    <w:p w14:paraId="7BA910AE">
      <w:pPr>
        <w:spacing w:before="200" w:after="100"/>
      </w:pPr>
      <w:r>
        <w:rPr>
          <w:rFonts w:ascii="黑体" w:hAnsi="黑体" w:eastAsia="黑体" w:cs="黑体"/>
          <w:b/>
          <w:bCs/>
          <w:color w:val="5A6373"/>
          <w:sz w:val="22"/>
          <w:szCs w:val="22"/>
        </w:rPr>
        <w:t>案例 Agent 二:LE-A14 发票分析 Agent</w:t>
      </w:r>
    </w:p>
    <w:p w14:paraId="00FBD995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发票数据是小微企业最真实的经营数据,但原始发票数据非常零散——逐笔进销项明细可能多达数千条。这个 Agent 负责把这些数据转化为有意义的洞察: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700"/>
        <w:gridCol w:w="3538"/>
      </w:tblGrid>
      <w:tr w14:paraId="541E3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41A17A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分析视角</w:t>
            </w:r>
          </w:p>
        </w:tc>
        <w:tc>
          <w:tcPr>
            <w:tcW w:w="3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6A1585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技术实现</w:t>
            </w:r>
          </w:p>
        </w:tc>
        <w:tc>
          <w:tcPr>
            <w:tcW w:w="35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CAB391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输出指标</w:t>
            </w:r>
          </w:p>
        </w:tc>
      </w:tr>
      <w:tr w14:paraId="38582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1629B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客户集中度</w:t>
            </w:r>
          </w:p>
        </w:tc>
        <w:tc>
          <w:tcPr>
            <w:tcW w:w="3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AD91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对销项发票按客户聚合 + 排序</w:t>
            </w:r>
          </w:p>
        </w:tc>
        <w:tc>
          <w:tcPr>
            <w:tcW w:w="35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11CDB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前5大客户营收占比</w:t>
            </w:r>
          </w:p>
        </w:tc>
      </w:tr>
      <w:tr w14:paraId="08D32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03741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供应商集中度</w:t>
            </w:r>
          </w:p>
        </w:tc>
        <w:tc>
          <w:tcPr>
            <w:tcW w:w="3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EE102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对进项发票按供应商聚合 + 排序</w:t>
            </w:r>
          </w:p>
        </w:tc>
        <w:tc>
          <w:tcPr>
            <w:tcW w:w="35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88BA1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前5大供应商采购占比</w:t>
            </w:r>
          </w:p>
        </w:tc>
      </w:tr>
      <w:tr w14:paraId="76C1D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07FF5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销售季节性</w:t>
            </w:r>
          </w:p>
        </w:tc>
        <w:tc>
          <w:tcPr>
            <w:tcW w:w="3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74685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月度时序分析</w:t>
            </w:r>
          </w:p>
        </w:tc>
        <w:tc>
          <w:tcPr>
            <w:tcW w:w="35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87F4D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销售周期识别 + 同比环比</w:t>
            </w:r>
          </w:p>
        </w:tc>
      </w:tr>
      <w:tr w14:paraId="3DEFF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F7D3D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关联交易识别</w:t>
            </w:r>
          </w:p>
        </w:tc>
        <w:tc>
          <w:tcPr>
            <w:tcW w:w="3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9FD7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上下游企业 ∩ 关联方清单</w:t>
            </w:r>
          </w:p>
        </w:tc>
        <w:tc>
          <w:tcPr>
            <w:tcW w:w="35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97EFB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关联交易金额 + 比例</w:t>
            </w:r>
          </w:p>
        </w:tc>
      </w:tr>
      <w:tr w14:paraId="67861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F3E92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闭环交易识别</w:t>
            </w:r>
          </w:p>
        </w:tc>
        <w:tc>
          <w:tcPr>
            <w:tcW w:w="3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CE560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图算法识别买卖关系闭环</w:t>
            </w:r>
          </w:p>
        </w:tc>
        <w:tc>
          <w:tcPr>
            <w:tcW w:w="35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A772A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可疑闭环金额</w:t>
            </w:r>
          </w:p>
        </w:tc>
      </w:tr>
      <w:tr w14:paraId="5F98B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7F096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作废率分析</w:t>
            </w:r>
          </w:p>
        </w:tc>
        <w:tc>
          <w:tcPr>
            <w:tcW w:w="3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8EE28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作废发票 / 总发票</w:t>
            </w:r>
          </w:p>
        </w:tc>
        <w:tc>
          <w:tcPr>
            <w:tcW w:w="35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D458A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作废率异常预警</w:t>
            </w:r>
          </w:p>
        </w:tc>
      </w:tr>
    </w:tbl>
    <w:p w14:paraId="14AB5AFE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实际案例(脱敏)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:在某地市批量授信项目中,我们的发票分析 Agent 曾发现一家申请 800 万授信的企业,其前 5 大客户占营收 95%,且其中 3 家与企业实控人有股权关联,5 大供应商也存在类似情况。这家企业最终被识别为'内部循环开票'风险,授信申请被拒绝——这正是传统评分卡难以发现的隐蔽风险。</w:t>
      </w:r>
    </w:p>
    <w:p w14:paraId="2238C34B">
      <w:pPr>
        <w:spacing w:before="200" w:after="100"/>
      </w:pPr>
      <w:r>
        <w:rPr>
          <w:rFonts w:ascii="黑体" w:hAnsi="黑体" w:eastAsia="黑体" w:cs="黑体"/>
          <w:b/>
          <w:bCs/>
          <w:color w:val="5A6373"/>
          <w:sz w:val="22"/>
          <w:szCs w:val="22"/>
        </w:rPr>
        <w:t>案例 Agent 三:LE-A16 交叉验证综合 Agent</w:t>
      </w:r>
    </w:p>
    <w:p w14:paraId="190150DC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这个 Agent 是产品的'风控大脑',负责把五对交叉验证的结果整合为最终结论:</w:t>
      </w:r>
    </w:p>
    <w:p w14:paraId="4B7F8B8B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输入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:五对交叉验证的原始数据(纳税×用电、发票×营收、社保×年报、反欺诈×发票、多头×融资)</w:t>
      </w:r>
    </w:p>
    <w:p w14:paraId="09B93E7F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推理逻辑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:</w:t>
      </w:r>
    </w:p>
    <w:p w14:paraId="7B827982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1. 对每对验证给出'正常 / 关注 / 异常'三档判断;</w:t>
      </w:r>
    </w:p>
    <w:p w14:paraId="2E565FB5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2. 如果有 1 对异常,记录但不触发综合警报;</w:t>
      </w:r>
    </w:p>
    <w:p w14:paraId="1B9748F3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3. 如果有 2 对以上异常,触发综合警报,要求人工复核;</w:t>
      </w:r>
    </w:p>
    <w:p w14:paraId="29450E3C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4. 如果异常涉及核心维度(如发票×营收),触发评分调降建议;</w:t>
      </w:r>
    </w:p>
    <w:p w14:paraId="511311F5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5. 输出处置建议:正常通过 / 评分调降 / 人工复核 / 直接拒绝。</w:t>
      </w:r>
    </w:p>
    <w:p w14:paraId="58E7A729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输出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:300-500 字的结构化结论,直接进入授信审批官的视野。</w:t>
      </w:r>
    </w:p>
    <w:p w14:paraId="70224248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3.5  应用层:贷前 / 贷中 / 贷后全周期</w:t>
      </w:r>
    </w:p>
    <w:p w14:paraId="1598F323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应用层是直接面向银行业务的产品形态。我们把平台能力封装成 5 个 SKU(可独立采购也可组合),覆盖从获客到催收的全流程: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2400"/>
        <w:gridCol w:w="2700"/>
        <w:gridCol w:w="1900"/>
        <w:gridCol w:w="1538"/>
      </w:tblGrid>
      <w:tr w14:paraId="1262A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919B36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SKU 编号</w:t>
            </w:r>
          </w:p>
        </w:tc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E2EDE2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SKU 名称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65836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适用场景</w:t>
            </w:r>
          </w:p>
        </w:tc>
        <w:tc>
          <w:tcPr>
            <w:tcW w:w="19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98862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计费方式</w:t>
            </w:r>
          </w:p>
        </w:tc>
        <w:tc>
          <w:tcPr>
            <w:tcW w:w="15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97533E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上线难度</w:t>
            </w:r>
          </w:p>
        </w:tc>
      </w:tr>
      <w:tr w14:paraId="7A4D0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0DC3A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SKU 1</w:t>
            </w:r>
          </w:p>
        </w:tc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EC4B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智能征信报告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0B679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授信尽调、信审会上会</w:t>
            </w:r>
          </w:p>
        </w:tc>
        <w:tc>
          <w:tcPr>
            <w:tcW w:w="19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8883F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按份计费(50-500 元/份)</w:t>
            </w:r>
          </w:p>
        </w:tc>
        <w:tc>
          <w:tcPr>
            <w:tcW w:w="15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13679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★ 低</w:t>
            </w:r>
          </w:p>
        </w:tc>
      </w:tr>
      <w:tr w14:paraId="1B0BE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BFAF5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SKU 2</w:t>
            </w:r>
          </w:p>
        </w:tc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8F1BE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批量获客与白名单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2BAEF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普惠营销、增量客户拓展</w:t>
            </w:r>
          </w:p>
        </w:tc>
        <w:tc>
          <w:tcPr>
            <w:tcW w:w="19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BBC2D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按白名单户数 + 转化分润</w:t>
            </w:r>
          </w:p>
        </w:tc>
        <w:tc>
          <w:tcPr>
            <w:tcW w:w="15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73C1A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★★★ 高(合规敏感)</w:t>
            </w:r>
          </w:p>
        </w:tc>
      </w:tr>
      <w:tr w14:paraId="6B45E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35A42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SKU 3</w:t>
            </w:r>
          </w:p>
        </w:tc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CB2C5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贷前智能审批 Agent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4FE5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线上化授信审批</w:t>
            </w:r>
          </w:p>
        </w:tc>
        <w:tc>
          <w:tcPr>
            <w:tcW w:w="19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A636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按笔数 + 利息分润</w:t>
            </w:r>
          </w:p>
        </w:tc>
        <w:tc>
          <w:tcPr>
            <w:tcW w:w="15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E6E34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★★ 中</w:t>
            </w:r>
          </w:p>
        </w:tc>
      </w:tr>
      <w:tr w14:paraId="5F91D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858B7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SKU 4</w:t>
            </w:r>
          </w:p>
        </w:tc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C436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贷中贷后智能监控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76C40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存量客户风险监控</w:t>
            </w:r>
          </w:p>
        </w:tc>
        <w:tc>
          <w:tcPr>
            <w:tcW w:w="19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88515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按存量户数订阅</w:t>
            </w:r>
          </w:p>
        </w:tc>
        <w:tc>
          <w:tcPr>
            <w:tcW w:w="15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CA35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★ 低</w:t>
            </w:r>
          </w:p>
        </w:tc>
      </w:tr>
      <w:tr w14:paraId="3B4DB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925AB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SKU 5</w:t>
            </w:r>
          </w:p>
        </w:tc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15E30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智能催收处置 Agent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97249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不良贷款催收</w:t>
            </w:r>
          </w:p>
        </w:tc>
        <w:tc>
          <w:tcPr>
            <w:tcW w:w="19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6E4F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纯分润(回收金额×%)</w:t>
            </w:r>
          </w:p>
        </w:tc>
        <w:tc>
          <w:tcPr>
            <w:tcW w:w="15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B3185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★★★ 高(合规敏感)</w:t>
            </w:r>
          </w:p>
        </w:tc>
      </w:tr>
    </w:tbl>
    <w:p w14:paraId="21935829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推荐切入路径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:</w:t>
      </w:r>
    </w:p>
    <w:p w14:paraId="29E42AD0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优先 SKU 1 (智能征信报告) + SKU 4 (贷中贷后监控)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 xml:space="preserve"> — 这两个 SKU 合规风险低、价值直观,适合作为产品 POC 的起点。</w:t>
      </w:r>
    </w:p>
    <w:p w14:paraId="30EA2552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第二阶段 SKU 3 (贷前审批 Agent)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 xml:space="preserve"> — 在 SKU 1 验证通过后,把单点的尽调能力扩展到全自动审批,实现端到端智能化。</w:t>
      </w:r>
    </w:p>
    <w:p w14:paraId="648DFAEE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第三阶段 SKU 2 + SKU 5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 xml:space="preserve"> — 在前几个 SKU 建立信任、合规框架经过验证后,再切入获客和催收两个合规敏感场景。</w:t>
      </w:r>
    </w:p>
    <w:p w14:paraId="0F6693E3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 xml:space="preserve">3.6  </w:t>
      </w:r>
      <w:r>
        <w:rPr>
          <w:rFonts w:hint="eastAsia" w:cs="黑体"/>
          <w:b/>
          <w:bCs/>
          <w:color w:val="1F3A5F"/>
          <w:sz w:val="30"/>
          <w:szCs w:val="30"/>
          <w:lang w:val="en-US" w:eastAsia="zh-CN"/>
        </w:rPr>
        <w:t>AI原生智慧运营</w:t>
      </w: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方法论</w:t>
      </w:r>
    </w:p>
    <w:p w14:paraId="3BBFFC50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除了产品本身,我们还提供了支撑产品落地的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AI原生智慧运营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方法论体系——</w:t>
      </w: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SDAFI 五阶段闭环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(Sense / Decide / Act / Feedback / Improve),这是</w:t>
      </w:r>
      <w:r>
        <w:rPr>
          <w:rFonts w:hint="eastAsia" w:cs="宋体"/>
          <w:b w:val="0"/>
          <w:bCs w:val="0"/>
          <w:color w:val="000000"/>
          <w:sz w:val="21"/>
          <w:szCs w:val="21"/>
          <w:lang w:eastAsia="zh-CN"/>
        </w:rPr>
        <w:t>金智维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在企业级 AI Agent 工程实践中沉淀的核心方法论。</w:t>
      </w:r>
    </w:p>
    <w:p w14:paraId="0168A2A9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SDAFI 描述了 AI Agent 在任何业务场景下完整的运行循环:从感知到决策、从执行到反馈、再回到改进——形成一个持续自我进化的闭环。这与传统'开环式'决策系统(评分卡、规则引擎)有本质区别——传统系统一旦上线就停止学习,而 SDAFI 框架下的 Agent 能够基于业务反馈持续优化。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000"/>
        <w:gridCol w:w="2700"/>
        <w:gridCol w:w="4438"/>
      </w:tblGrid>
      <w:tr w14:paraId="7D0EA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DF969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环节</w:t>
            </w:r>
          </w:p>
        </w:tc>
        <w:tc>
          <w:tcPr>
            <w:tcW w:w="1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1932F8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中文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1DBFDC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核心问题</w:t>
            </w:r>
          </w:p>
        </w:tc>
        <w:tc>
          <w:tcPr>
            <w:tcW w:w="44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718D2D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在智慧信贷场景中的应用</w:t>
            </w:r>
          </w:p>
        </w:tc>
      </w:tr>
      <w:tr w14:paraId="5482E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90667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S - Sense</w:t>
            </w:r>
          </w:p>
        </w:tc>
        <w:tc>
          <w:tcPr>
            <w:tcW w:w="1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F34D9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感知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32E3F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看什么数据?看多远?</w:t>
            </w:r>
          </w:p>
        </w:tc>
        <w:tc>
          <w:tcPr>
            <w:tcW w:w="44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DBE4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Agent 从正菱 90+ API 实时感知企业经营全貌(工商/财税/司法/用电等),贷前看历史 36 月,贷后实时事件驱动</w:t>
            </w:r>
          </w:p>
        </w:tc>
      </w:tr>
      <w:tr w14:paraId="27EAB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B780D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D - Decide</w:t>
            </w:r>
          </w:p>
        </w:tc>
        <w:tc>
          <w:tcPr>
            <w:tcW w:w="1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AA13E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决策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4FFA1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用什么模型?规则还是 AI?</w:t>
            </w:r>
          </w:p>
        </w:tc>
        <w:tc>
          <w:tcPr>
            <w:tcW w:w="44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C64E8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五维评分(规则)+ 五对交叉验证(规则)+ 大模型推理(AI)三者结合,各司其职</w:t>
            </w:r>
          </w:p>
        </w:tc>
      </w:tr>
      <w:tr w14:paraId="06033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59429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A - Act</w:t>
            </w:r>
          </w:p>
        </w:tc>
        <w:tc>
          <w:tcPr>
            <w:tcW w:w="1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2EB1D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执行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5FFBC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改什么?通知谁?</w:t>
            </w:r>
          </w:p>
        </w:tc>
        <w:tc>
          <w:tcPr>
            <w:tcW w:w="44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29BB4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生成尽调报告 → 推送到银行审批官 / 触发预警工单 → 通知客户经理 / 自动调整监控配置</w:t>
            </w:r>
          </w:p>
        </w:tc>
      </w:tr>
      <w:tr w14:paraId="38246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5E354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F - Feedback</w:t>
            </w:r>
          </w:p>
        </w:tc>
        <w:tc>
          <w:tcPr>
            <w:tcW w:w="1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F2489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反馈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1F47D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预期 vs 实际?偏差多少?</w:t>
            </w:r>
          </w:p>
        </w:tc>
        <w:tc>
          <w:tcPr>
            <w:tcW w:w="44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B333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对每笔授信跟踪后续表现:正常还款 / 逾期 / 不良,与 Agent 评分预期对比,识别模型偏差</w:t>
            </w:r>
          </w:p>
        </w:tc>
      </w:tr>
      <w:tr w14:paraId="4A3FF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7721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I - Improve</w:t>
            </w:r>
          </w:p>
        </w:tc>
        <w:tc>
          <w:tcPr>
            <w:tcW w:w="1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2DC97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改进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B5DC0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调什么参数?要不要重训练?</w:t>
            </w:r>
          </w:p>
        </w:tc>
        <w:tc>
          <w:tcPr>
            <w:tcW w:w="44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1D283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基于反馈数据迭代:子指标权重调优 / 阈值微调 / Prompt 优化 / 季度性模型重训</w:t>
            </w:r>
          </w:p>
        </w:tc>
      </w:tr>
    </w:tbl>
    <w:p w14:paraId="1AF9ACD3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为什么强调'闭环'?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 xml:space="preserve"> 银行业最大的风控挑战不是'当下能不能识别风险',而是'明年的风险特征是否还能识别'。欺诈手法在演变,经营模式在变化,监管要求在迭代——任何'静态评分卡'式的系统,上线那天就开始过时。SDAFI 闭环让 Agent 像有经验的客户经理一样,能从每一次决策的对错中学习,持续提升判断能力。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51AE5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single" w:color="00A99D" w:sz="12" w:space="0"/>
              <w:left w:val="single" w:color="00A99D" w:sz="12" w:space="0"/>
              <w:bottom w:val="single" w:color="00A99D" w:sz="12" w:space="0"/>
              <w:right w:val="single" w:color="00A99D" w:sz="12" w:space="0"/>
            </w:tcBorders>
            <w:shd w:val="clear" w:color="auto" w:fill="FAFAF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BEB8F43">
            <w:pPr>
              <w:spacing w:before="0" w:after="80" w:line="340" w:lineRule="auto"/>
              <w:jc w:val="both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A99D"/>
                <w:sz w:val="24"/>
                <w:szCs w:val="24"/>
              </w:rPr>
              <w:t>▎</w:t>
            </w: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A99D"/>
                <w:sz w:val="22"/>
                <w:szCs w:val="22"/>
              </w:rPr>
              <w:t xml:space="preserve"> SDAFI 在产品中的具体落地</w:t>
            </w:r>
          </w:p>
          <w:p w14:paraId="587B2B84">
            <w:pPr>
              <w:spacing w:before="0" w:after="0" w:line="340" w:lineRule="auto"/>
              <w:jc w:val="both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1F2937"/>
                <w:sz w:val="21"/>
                <w:szCs w:val="21"/>
              </w:rPr>
              <w:t>本平台所有 26 个 Agent 都遵循 SDAFI 闭环设计:每个 Agent 都有明确的输入感知(S)、决策推理(D)、行为输出(A)、效果反馈通道(F)、改进迭代机制(I)。这是产品区别于'一次性 AI 工具'的根本——我们交付给银行的不是一个静态系统,而是一个会随时间持续变强的智能体。</w:t>
            </w:r>
          </w:p>
        </w:tc>
      </w:tr>
    </w:tbl>
    <w:p w14:paraId="78C3997A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SDAFI 不是一个产品功能,而是一种方法论。我们</w:t>
      </w:r>
      <w:r>
        <w:rPr>
          <w:rFonts w:hint="eastAsia" w:cs="宋体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将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发布《SDAFI:面向企业级 AI Agent 的设计方法论》白皮书 v2.0,可作为本产品的扩展阅读材料。</w:t>
      </w:r>
    </w:p>
    <w:p w14:paraId="1373B015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3.7  产品发展路线图</w:t>
      </w:r>
    </w:p>
    <w:p w14:paraId="47C063DF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智慧信贷智能体平台不是一个静态产品,而是一个持续演进的智能体系。我们对未来 18 个月的产品演进规划如下,这份路线图与每位银行客户共享,确保银行在选择产品时对未来的能力扩展有清晰预期。</w:t>
      </w:r>
    </w:p>
    <w:p w14:paraId="73F3E13C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v1.0 当前版本(2026 Q1 已发布)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4000"/>
        <w:gridCol w:w="2638"/>
      </w:tblGrid>
      <w:tr w14:paraId="5168C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5D1FF7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能力模块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29ACD2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覆盖范围</w:t>
            </w:r>
          </w:p>
        </w:tc>
        <w:tc>
          <w:tcPr>
            <w:tcW w:w="2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414CA1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成熟度</w:t>
            </w:r>
          </w:p>
        </w:tc>
      </w:tr>
      <w:tr w14:paraId="53E52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1AD81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智能征信报告(SKU 1)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BD427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法人小微 + 个体工商户</w:t>
            </w:r>
          </w:p>
        </w:tc>
        <w:tc>
          <w:tcPr>
            <w:tcW w:w="2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E5BD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GA(全面可用)</w:t>
            </w:r>
          </w:p>
        </w:tc>
      </w:tr>
      <w:tr w14:paraId="202A1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48CE6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贷中贷后监控(SKU 4)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C2EA6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30+ 监控维度,事件驱动</w:t>
            </w:r>
          </w:p>
        </w:tc>
        <w:tc>
          <w:tcPr>
            <w:tcW w:w="2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D7B22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GA</w:t>
            </w:r>
          </w:p>
        </w:tc>
      </w:tr>
      <w:tr w14:paraId="164CC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16498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五维评分模型 + 五对交叉验证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A686A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法人版 5 维 / 个体户版 4 维</w:t>
            </w:r>
          </w:p>
        </w:tc>
        <w:tc>
          <w:tcPr>
            <w:tcW w:w="2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B1C8D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GA</w:t>
            </w:r>
          </w:p>
        </w:tc>
      </w:tr>
      <w:tr w14:paraId="0CF19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D0020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18+8 个核心 Agent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9A90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尽调全流程覆盖</w:t>
            </w:r>
          </w:p>
        </w:tc>
        <w:tc>
          <w:tcPr>
            <w:tcW w:w="2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2C76D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GA</w:t>
            </w:r>
          </w:p>
        </w:tc>
      </w:tr>
      <w:tr w14:paraId="1FAD2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D6F0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私有化 / 专有云 / SaaS 三种部署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98712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适配各种规模银行</w:t>
            </w:r>
          </w:p>
        </w:tc>
        <w:tc>
          <w:tcPr>
            <w:tcW w:w="2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14D06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GA</w:t>
            </w:r>
          </w:p>
        </w:tc>
      </w:tr>
    </w:tbl>
    <w:p w14:paraId="646605F5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v1.5 中期演进(预计 2026 Q3 发布)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4000"/>
        <w:gridCol w:w="2938"/>
      </w:tblGrid>
      <w:tr w14:paraId="30C11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61B8B9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能力模块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0934D3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新增能力</w:t>
            </w:r>
          </w:p>
        </w:tc>
        <w:tc>
          <w:tcPr>
            <w:tcW w:w="29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25C027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对银行的价值</w:t>
            </w:r>
          </w:p>
        </w:tc>
      </w:tr>
      <w:tr w14:paraId="012AF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1FD3D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贷前智能审批 Agent(SKU 3)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AB56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完整审批 Agent + 工作流引擎</w:t>
            </w:r>
          </w:p>
        </w:tc>
        <w:tc>
          <w:tcPr>
            <w:tcW w:w="29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9FF86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实现端到端授信自动化</w:t>
            </w:r>
          </w:p>
        </w:tc>
      </w:tr>
      <w:tr w14:paraId="11D4C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F6E54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更深入的财务诊断 Agent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BCAD9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增强财务造假识别 / 行业基准对比</w:t>
            </w:r>
          </w:p>
        </w:tc>
        <w:tc>
          <w:tcPr>
            <w:tcW w:w="29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0EF09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提升风险识别精度</w:t>
            </w:r>
          </w:p>
        </w:tc>
      </w:tr>
      <w:tr w14:paraId="2A9DA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6C0C4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多语言报告生成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8B5B4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支持英文 / 粤语 / 普通话报告</w:t>
            </w:r>
          </w:p>
        </w:tc>
        <w:tc>
          <w:tcPr>
            <w:tcW w:w="29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67BF8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适配跨境业务和粤港澳大湾区</w:t>
            </w:r>
          </w:p>
        </w:tc>
      </w:tr>
      <w:tr w14:paraId="6A1F0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23A63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合规自检 Agent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17348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对每份报告做合规自动校验</w:t>
            </w:r>
          </w:p>
        </w:tc>
        <w:tc>
          <w:tcPr>
            <w:tcW w:w="29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A0D0E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降低银行合规审核工作量</w:t>
            </w:r>
          </w:p>
        </w:tc>
      </w:tr>
      <w:tr w14:paraId="2372B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D938E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客户经理协作工作台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08E20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Agent 与客户经理双向交互</w:t>
            </w:r>
          </w:p>
        </w:tc>
        <w:tc>
          <w:tcPr>
            <w:tcW w:w="29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BD621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提升使用体验</w:t>
            </w:r>
          </w:p>
        </w:tc>
      </w:tr>
    </w:tbl>
    <w:p w14:paraId="69EF75D5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v2.0 长期愿景(预计 2027 Q1 发布)</w:t>
      </w:r>
    </w:p>
    <w:tbl>
      <w:tblPr>
        <w:tblStyle w:val="11"/>
        <w:tblW w:w="9638" w:type="dxa"/>
        <w:tblInd w:w="-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4000"/>
        <w:gridCol w:w="2938"/>
      </w:tblGrid>
      <w:tr w14:paraId="31DDC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6B63D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能力模块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9B5E97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战略方向</w:t>
            </w:r>
          </w:p>
        </w:tc>
        <w:tc>
          <w:tcPr>
            <w:tcW w:w="29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18EEC4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对银行的价值</w:t>
            </w:r>
          </w:p>
        </w:tc>
      </w:tr>
      <w:tr w14:paraId="2507F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EE328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批量获客与白名单(SKU 2)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E9763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公共数据驱动的精准营销</w:t>
            </w:r>
          </w:p>
        </w:tc>
        <w:tc>
          <w:tcPr>
            <w:tcW w:w="29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0E2FF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解决普惠金融获客成本痛点</w:t>
            </w:r>
          </w:p>
        </w:tc>
      </w:tr>
      <w:tr w14:paraId="744D4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A1084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智能催收处置 Agent(SKU 5)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CD707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合规催收 + 多渠道协同</w:t>
            </w:r>
          </w:p>
        </w:tc>
        <w:tc>
          <w:tcPr>
            <w:tcW w:w="29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9CC61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降低不良处置成本</w:t>
            </w:r>
          </w:p>
        </w:tc>
      </w:tr>
      <w:tr w14:paraId="34370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CF4A8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跨产品智能推荐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28077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基于客户全貌的产品矩阵推荐</w:t>
            </w:r>
          </w:p>
        </w:tc>
        <w:tc>
          <w:tcPr>
            <w:tcW w:w="29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0672E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提升客户综合价值</w:t>
            </w:r>
          </w:p>
        </w:tc>
      </w:tr>
      <w:tr w14:paraId="77762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587C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数字化客户经理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521E4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完整的'数字员工'能力包</w:t>
            </w:r>
          </w:p>
        </w:tc>
        <w:tc>
          <w:tcPr>
            <w:tcW w:w="29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09ECA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客户经理生产力 10 倍提升</w:t>
            </w:r>
          </w:p>
        </w:tc>
      </w:tr>
      <w:tr w14:paraId="13E81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9FD10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全场景行业模型</w:t>
            </w:r>
          </w:p>
        </w:tc>
        <w:tc>
          <w:tcPr>
            <w:tcW w:w="4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D2562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餐饮 / 零售 / 制造等垂直行业子模型</w:t>
            </w:r>
          </w:p>
        </w:tc>
        <w:tc>
          <w:tcPr>
            <w:tcW w:w="29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74BA5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提升各行业精准度</w:t>
            </w:r>
          </w:p>
        </w:tc>
      </w:tr>
      <w:tr w14:paraId="415C8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gridSpan w:val="3"/>
            <w:tcBorders>
              <w:top w:val="single" w:color="27AE60" w:sz="12" w:space="0"/>
              <w:left w:val="single" w:color="27AE60" w:sz="12" w:space="0"/>
              <w:bottom w:val="single" w:color="27AE60" w:sz="12" w:space="0"/>
              <w:right w:val="single" w:color="27AE60" w:sz="12" w:space="0"/>
            </w:tcBorders>
            <w:shd w:val="clear" w:color="auto" w:fill="FAFAF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DE001CD">
            <w:pPr>
              <w:spacing w:before="0" w:after="80" w:line="340" w:lineRule="auto"/>
              <w:jc w:val="both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27AE60"/>
                <w:sz w:val="24"/>
                <w:szCs w:val="24"/>
              </w:rPr>
              <w:t>▎</w:t>
            </w: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27AE60"/>
                <w:sz w:val="22"/>
                <w:szCs w:val="22"/>
              </w:rPr>
              <w:t xml:space="preserve"> 产品演进的承诺</w:t>
            </w:r>
          </w:p>
          <w:p w14:paraId="276EBC5C">
            <w:pPr>
              <w:spacing w:before="0" w:after="0" w:line="340" w:lineRule="auto"/>
              <w:jc w:val="both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1F2937"/>
                <w:sz w:val="21"/>
                <w:szCs w:val="21"/>
              </w:rPr>
              <w:t>银行采购 v1.0 版本时,后续 v1.5 / v2.0 的能力扩展自动包含在订阅服务中,无需额外采购。这是</w:t>
            </w:r>
            <w:r>
              <w:rPr>
                <w:rFonts w:hint="eastAsia" w:cs="宋体"/>
                <w:b w:val="0"/>
                <w:bCs w:val="0"/>
                <w:i w:val="0"/>
                <w:iCs w:val="0"/>
                <w:color w:val="1F2937"/>
                <w:sz w:val="21"/>
                <w:szCs w:val="21"/>
                <w:lang w:eastAsia="zh-CN"/>
              </w:rPr>
              <w:t>金智维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1F2937"/>
                <w:sz w:val="21"/>
                <w:szCs w:val="21"/>
              </w:rPr>
              <w:t>对每一位银行客户的产品演进承诺——我们与银行共同成长,而不是把版本升级作为新的收费项。</w:t>
            </w:r>
          </w:p>
        </w:tc>
      </w:tr>
    </w:tbl>
    <w:p w14:paraId="6B23FC38">
      <w:pPr>
        <w:pStyle w:val="2"/>
        <w:pageBreakBefore/>
        <w:spacing w:before="480" w:after="240"/>
      </w:pPr>
      <w:r>
        <w:rPr>
          <w:rFonts w:ascii="黑体" w:hAnsi="黑体" w:eastAsia="黑体" w:cs="黑体"/>
          <w:b/>
          <w:bCs/>
          <w:color w:val="1F3A5F"/>
          <w:sz w:val="40"/>
          <w:szCs w:val="40"/>
        </w:rPr>
        <w:t>第四篇  合规与安全</w:t>
      </w:r>
    </w:p>
    <w:p w14:paraId="6D2ACE6C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银行业是受监管最严格的行业之一,合规与安全是产品的生命线。本篇从监管框架、数据合规、模型合规、信息安全四个维度,系统呈现产品的合规设计。</w:t>
      </w:r>
    </w:p>
    <w:p w14:paraId="168058FF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4.1  监管框架解读</w:t>
      </w:r>
    </w:p>
    <w:p w14:paraId="42F1DF44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我们对所有相关监管文件进行了梳理,识别出对智慧信贷类产品最关键的'四条红线':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1900"/>
        <w:gridCol w:w="2700"/>
        <w:gridCol w:w="3338"/>
      </w:tblGrid>
      <w:tr w14:paraId="3C016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6B465B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红线</w:t>
            </w:r>
          </w:p>
        </w:tc>
        <w:tc>
          <w:tcPr>
            <w:tcW w:w="19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931AB8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适用法规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444318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核心要求</w:t>
            </w:r>
          </w:p>
        </w:tc>
        <w:tc>
          <w:tcPr>
            <w:tcW w:w="33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1687A0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本产品的应对</w:t>
            </w:r>
          </w:p>
        </w:tc>
      </w:tr>
      <w:tr w14:paraId="5BEF5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DECA6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征信业务红线</w:t>
            </w:r>
          </w:p>
        </w:tc>
        <w:tc>
          <w:tcPr>
            <w:tcW w:w="19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8D941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《征信业务管理办法》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901B7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信用信息采集需明示同意,征信业务持牌经营</w:t>
            </w:r>
          </w:p>
        </w:tc>
        <w:tc>
          <w:tcPr>
            <w:tcW w:w="33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78A1B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产品定位为决策辅助工具,不直接对外出具,仅供银行内部审批,不构成征信报告</w:t>
            </w:r>
          </w:p>
        </w:tc>
      </w:tr>
      <w:tr w14:paraId="05399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14A24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个人信息保护红线</w:t>
            </w:r>
          </w:p>
        </w:tc>
        <w:tc>
          <w:tcPr>
            <w:tcW w:w="19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45849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《个人信息保护法》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60C8B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最小必要、明示同意、可撤回授权,自动化决策可解释</w:t>
            </w:r>
          </w:p>
        </w:tc>
        <w:tc>
          <w:tcPr>
            <w:tcW w:w="33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6E2F4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完整授权链条 + Agent 决策路径全程可追溯 + 人工最终签批</w:t>
            </w:r>
          </w:p>
        </w:tc>
      </w:tr>
      <w:tr w14:paraId="7ECE2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4EA1C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数据安全红线</w:t>
            </w:r>
          </w:p>
        </w:tc>
        <w:tc>
          <w:tcPr>
            <w:tcW w:w="19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0209A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《数据安全法》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519A1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数据本地化、分级分类、安全保护</w:t>
            </w:r>
          </w:p>
        </w:tc>
        <w:tc>
          <w:tcPr>
            <w:tcW w:w="33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66A57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全境内处理,数据分级分类,可私有化部署</w:t>
            </w:r>
          </w:p>
        </w:tc>
      </w:tr>
      <w:tr w14:paraId="28915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E8056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金融科技合规红线</w:t>
            </w:r>
          </w:p>
        </w:tc>
        <w:tc>
          <w:tcPr>
            <w:tcW w:w="19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82C56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《商业银行互联网贷款管理办法》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872DD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互联网贷款合作机构管理、风险隔离</w:t>
            </w:r>
          </w:p>
        </w:tc>
        <w:tc>
          <w:tcPr>
            <w:tcW w:w="33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DC27E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产品作为银行的技术服务方,不参与贷款决策最终签批</w:t>
            </w:r>
          </w:p>
        </w:tc>
      </w:tr>
    </w:tbl>
    <w:p w14:paraId="3A4714A8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4.2  数据合规:授权链条与最小必要</w:t>
      </w:r>
    </w:p>
    <w:p w14:paraId="10200642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授权链条三层设计</w:t>
      </w:r>
    </w:p>
    <w:p w14:paraId="16F599DB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不同类型的数据有不同的授权要求,我们将数据按授权严格度分为三层: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2700"/>
        <w:gridCol w:w="1900"/>
        <w:gridCol w:w="2400"/>
        <w:gridCol w:w="1338"/>
      </w:tblGrid>
      <w:tr w14:paraId="430FC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AA0FAA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B4112C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19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0FCCC3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授权要求</w:t>
            </w:r>
          </w:p>
        </w:tc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78698C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授权方式</w:t>
            </w:r>
          </w:p>
        </w:tc>
        <w:tc>
          <w:tcPr>
            <w:tcW w:w="13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068090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可撤回</w:t>
            </w:r>
          </w:p>
        </w:tc>
      </w:tr>
      <w:tr w14:paraId="00E14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44BF4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L1 公开数据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712CC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工商基本信息、司法公告、行政处罚等</w:t>
            </w:r>
          </w:p>
        </w:tc>
        <w:tc>
          <w:tcPr>
            <w:tcW w:w="19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1F0A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无需授权(依法公开)</w:t>
            </w:r>
          </w:p>
        </w:tc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BE708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E016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</w:tr>
      <w:tr w14:paraId="6FD8D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FBB0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L2 企业授权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FD50E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纳税、发票、财务、用电、社保</w:t>
            </w:r>
          </w:p>
        </w:tc>
        <w:tc>
          <w:tcPr>
            <w:tcW w:w="19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54995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需企业法人授权</w:t>
            </w:r>
          </w:p>
        </w:tc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0246F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贷款合同附加条款 + 电子签约</w:t>
            </w:r>
          </w:p>
        </w:tc>
        <w:tc>
          <w:tcPr>
            <w:tcW w:w="13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3FDE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可撤回(影响贷款评估)</w:t>
            </w:r>
          </w:p>
        </w:tc>
      </w:tr>
      <w:tr w14:paraId="1A699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24F76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L3 个人授权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DB24D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个人涉诉、银行卡、不动产、车辆、个税</w:t>
            </w:r>
          </w:p>
        </w:tc>
        <w:tc>
          <w:tcPr>
            <w:tcW w:w="19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DE097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需个人明示授权</w:t>
            </w:r>
          </w:p>
        </w:tc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F7B99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H5 实人核身 + 电子签约</w:t>
            </w:r>
          </w:p>
        </w:tc>
        <w:tc>
          <w:tcPr>
            <w:tcW w:w="13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609DB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随时可撤回</w:t>
            </w:r>
          </w:p>
        </w:tc>
      </w:tr>
    </w:tbl>
    <w:p w14:paraId="02AD0E03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授权可撤回机制</w:t>
      </w:r>
    </w:p>
    <w:p w14:paraId="68B197EA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根据《个人信息保护法》第 15 条,个人有权随时撤回对个人信息的处理同意。我们设计了完整的撤回机制:</w:t>
      </w:r>
    </w:p>
    <w:p w14:paraId="017F29C4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 xml:space="preserve">1. </w:t>
      </w: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撤回入口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:客户通过原签约渠道(银行 APP / 微信公众号 / 线下网点)申请撤回;</w:t>
      </w:r>
    </w:p>
    <w:p w14:paraId="270D1B1F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 xml:space="preserve">2. </w:t>
      </w: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撤回响应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:平台 24 小时内停止调用相应数据 API,且通知银行;</w:t>
      </w:r>
    </w:p>
    <w:p w14:paraId="54F6AC62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 xml:space="preserve">3. </w:t>
      </w: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历史数据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:已生成的报告及授信决策不受影响(基于客户撤回前的合法授权);</w:t>
      </w:r>
    </w:p>
    <w:p w14:paraId="57C0B9B2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 xml:space="preserve">4. </w:t>
      </w: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撤回审计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:撤回行为全程留痕,可应监管核查。</w:t>
      </w:r>
    </w:p>
    <w:p w14:paraId="401A82D5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4.3  模型合规与可解释性</w:t>
      </w:r>
    </w:p>
    <w:p w14:paraId="67562BE0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《个人信息保护法》第 24 条对自动化决策提出了'可解释性'要求——通过自动化决策方式作出对个人权益有重大影响的决定,个人有权要求个人信息处理者予以说明。</w:t>
      </w:r>
    </w:p>
    <w:p w14:paraId="14F603AF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本产品在设计之初就把'可解释性'作为核心要求,通过三个机制实现:</w:t>
      </w:r>
    </w:p>
    <w:p w14:paraId="6FA48F91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机制一:Agent 决策路径全程可追溯</w:t>
      </w:r>
    </w:p>
    <w:p w14:paraId="10381F4F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每个 Agent 在执行任务时,会完整记录:接收的输入数据、调用的 API、推理步骤、中间结论、最终输出。这些记录构成了完整的决策路径,可以应客户或监管要求,展示'为什么得出这个结论'。</w:t>
      </w:r>
    </w:p>
    <w:p w14:paraId="61437447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机制二:评分结果可拆解归因</w:t>
      </w:r>
    </w:p>
    <w:p w14:paraId="7C9AF6FA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五维评分的每一分都可以拆解到具体的数据来源和计算逻辑。例如,'经营稳定性评分 65 分'可以追溯到'注册年限 8 年(80分×25%)+ 纳税信用 B 级(80分×25%)+ 社保人数稳定(70分×25%)+ 用电波动较大(40分×20%)+ 招聘活跃度低(50分×5%)= 65.5 分'。</w:t>
      </w:r>
    </w:p>
    <w:p w14:paraId="5E339E09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机制三:人工最终签批</w:t>
      </w:r>
    </w:p>
    <w:p w14:paraId="25253EED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Agent 不做最终决策,只生成尽调报告和评分建议。</w:t>
      </w: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所有授信批准/拒绝由银行的授信审批官最终人工签批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。这从根本上保证了决策的合规性,也避免了'AI 黑箱决策'的争议。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6FA14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single" w:color="1F3A5F" w:sz="12" w:space="0"/>
              <w:left w:val="single" w:color="1F3A5F" w:sz="12" w:space="0"/>
              <w:bottom w:val="single" w:color="1F3A5F" w:sz="12" w:space="0"/>
              <w:right w:val="single" w:color="1F3A5F" w:sz="12" w:space="0"/>
            </w:tcBorders>
            <w:shd w:val="clear" w:color="auto" w:fill="FAFAF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4C32134">
            <w:pPr>
              <w:spacing w:before="0" w:after="80" w:line="340" w:lineRule="auto"/>
              <w:jc w:val="both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1F3A5F"/>
                <w:sz w:val="24"/>
                <w:szCs w:val="24"/>
              </w:rPr>
              <w:t>▎</w:t>
            </w: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1F3A5F"/>
                <w:sz w:val="22"/>
                <w:szCs w:val="22"/>
              </w:rPr>
              <w:t xml:space="preserve"> 重要原则</w:t>
            </w:r>
          </w:p>
          <w:p w14:paraId="5A8CF6A2">
            <w:pPr>
              <w:spacing w:before="0" w:after="0" w:line="340" w:lineRule="auto"/>
              <w:jc w:val="both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1F2937"/>
                <w:sz w:val="21"/>
                <w:szCs w:val="21"/>
              </w:rPr>
              <w:t>我们坚持把 AI 定位为'增强工具'而非'替代工具'——AI 让信审官更高效、更全面,但不替代信审官的判断责任。这是产品设计的核心原则,也是合规设计的根本前提。</w:t>
            </w:r>
          </w:p>
        </w:tc>
      </w:tr>
    </w:tbl>
    <w:p w14:paraId="40F59DF8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4.4  信息安全与本地化</w:t>
      </w:r>
    </w:p>
    <w:p w14:paraId="67E67233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部署模式三选一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000"/>
        <w:gridCol w:w="2400"/>
        <w:gridCol w:w="1500"/>
        <w:gridCol w:w="938"/>
      </w:tblGrid>
      <w:tr w14:paraId="3DD80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08E248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部署模式</w:t>
            </w:r>
          </w:p>
        </w:tc>
        <w:tc>
          <w:tcPr>
            <w:tcW w:w="3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795524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适用银行规模</w:t>
            </w:r>
          </w:p>
        </w:tc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EC0AD2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数据流向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1BE030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实施周期</w:t>
            </w:r>
          </w:p>
        </w:tc>
        <w:tc>
          <w:tcPr>
            <w:tcW w:w="9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B9C7B9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成本水平</w:t>
            </w:r>
          </w:p>
        </w:tc>
      </w:tr>
      <w:tr w14:paraId="358BA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4ECED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私有化部署</w:t>
            </w:r>
          </w:p>
        </w:tc>
        <w:tc>
          <w:tcPr>
            <w:tcW w:w="3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5EF4E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国有大行 / 大型股份制 / 头部城商行</w:t>
            </w:r>
          </w:p>
        </w:tc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D04B9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完全在行内,数据不出网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F2578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3-6 个月</w:t>
            </w:r>
          </w:p>
        </w:tc>
        <w:tc>
          <w:tcPr>
            <w:tcW w:w="9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F1ED7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高</w:t>
            </w:r>
          </w:p>
        </w:tc>
      </w:tr>
      <w:tr w14:paraId="5AD55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0017C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专有云部署</w:t>
            </w:r>
          </w:p>
        </w:tc>
        <w:tc>
          <w:tcPr>
            <w:tcW w:w="3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DEC8E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中型城商行 / 农商行</w:t>
            </w:r>
          </w:p>
        </w:tc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7A063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在国资专有云,银行有独立环境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C5E31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1-3 个月</w:t>
            </w:r>
          </w:p>
        </w:tc>
        <w:tc>
          <w:tcPr>
            <w:tcW w:w="9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1448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中</w:t>
            </w:r>
          </w:p>
        </w:tc>
      </w:tr>
      <w:tr w14:paraId="70B59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D7E76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SaaS 部署</w:t>
            </w:r>
          </w:p>
        </w:tc>
        <w:tc>
          <w:tcPr>
            <w:tcW w:w="3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C963E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中小银行 / 试点项目</w:t>
            </w:r>
          </w:p>
        </w:tc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25DB2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在</w:t>
            </w:r>
            <w:r>
              <w:rPr>
                <w:rFonts w:hint="eastAsia" w:cs="宋体"/>
                <w:b w:val="0"/>
                <w:bCs w:val="0"/>
                <w:color w:val="000000"/>
                <w:sz w:val="20"/>
                <w:szCs w:val="20"/>
                <w:lang w:eastAsia="zh-CN"/>
              </w:rPr>
              <w:t>金智维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合规云,数据隔离</w:t>
            </w:r>
          </w:p>
        </w:tc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E74F9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2-4 周</w:t>
            </w:r>
          </w:p>
        </w:tc>
        <w:tc>
          <w:tcPr>
            <w:tcW w:w="9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E9AC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低</w:t>
            </w:r>
          </w:p>
        </w:tc>
      </w:tr>
    </w:tbl>
    <w:p w14:paraId="78BA8D29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数据安全四道防线</w:t>
      </w:r>
    </w:p>
    <w:p w14:paraId="0B473745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无论选择哪种部署模式,以下四道安全防线都默认开启:</w:t>
      </w:r>
    </w:p>
    <w:p w14:paraId="7E399269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第一道:传输加密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 xml:space="preserve"> — 所有 API 调用采用 HTTPS + 国密 SM4 加密;</w:t>
      </w:r>
    </w:p>
    <w:p w14:paraId="219CF566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第二道:存储加密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 xml:space="preserve"> — 所有数据落盘均经 AES-256 加密;</w:t>
      </w:r>
    </w:p>
    <w:p w14:paraId="6115D89D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第三道:访问控制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 xml:space="preserve"> — 基于 RBAC 的细粒度权限,所有访问操作留痕;</w:t>
      </w:r>
    </w:p>
    <w:p w14:paraId="77D4DDFC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第四道:审计与合规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 xml:space="preserve"> — 满足等保 2.0 三级要求,定期合规审计。</w:t>
      </w:r>
    </w:p>
    <w:p w14:paraId="12D1158F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合规大模型选择</w:t>
      </w:r>
    </w:p>
    <w:p w14:paraId="26A977D7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Agent 推理使用的大模型,默认采用国产合规大模型(如文心、通义、智谱、DeepSeek 等),所有备案均通过国家网信办的算法备案和模型备案。银行可根据自身偏好选择具体模型,平台支持多模型适配。</w:t>
      </w:r>
    </w:p>
    <w:p w14:paraId="74510C16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4.5  SDAFI Audit-by-Design 优势</w:t>
      </w:r>
    </w:p>
    <w:p w14:paraId="7BAAEF96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本节是合规章节的核心。我们将展示一个让</w:t>
      </w:r>
      <w:r>
        <w:rPr>
          <w:rFonts w:hint="eastAsia" w:cs="宋体"/>
          <w:b w:val="0"/>
          <w:bCs w:val="0"/>
          <w:i w:val="0"/>
          <w:iCs w:val="0"/>
          <w:color w:val="000000"/>
          <w:sz w:val="21"/>
          <w:szCs w:val="21"/>
          <w:lang w:eastAsia="zh-CN"/>
        </w:rPr>
        <w:t>金智维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产品在银行业合规审查中具有结构性优势的特性——SDAFI 架构的 Audit-by-Design(审计原生设计)。这是其他 AI Agent 平台和传统评分卡产品无法在短期内复制的能力。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5C7F6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single" w:color="C0392B" w:sz="12" w:space="0"/>
              <w:left w:val="single" w:color="C0392B" w:sz="12" w:space="0"/>
              <w:bottom w:val="single" w:color="C0392B" w:sz="12" w:space="0"/>
              <w:right w:val="single" w:color="C0392B" w:sz="12" w:space="0"/>
            </w:tcBorders>
            <w:shd w:val="clear" w:color="auto" w:fill="FAFAF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C0D8845">
            <w:pPr>
              <w:spacing w:before="0" w:after="80" w:line="340" w:lineRule="auto"/>
              <w:jc w:val="both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C0392B"/>
                <w:sz w:val="24"/>
                <w:szCs w:val="24"/>
              </w:rPr>
              <w:t>▎</w:t>
            </w: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C0392B"/>
                <w:sz w:val="22"/>
                <w:szCs w:val="22"/>
              </w:rPr>
              <w:t xml:space="preserve"> 核心论点</w:t>
            </w:r>
          </w:p>
          <w:p w14:paraId="385EEB1D">
            <w:pPr>
              <w:spacing w:before="0" w:after="0" w:line="340" w:lineRule="auto"/>
              <w:jc w:val="both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1F2937"/>
                <w:sz w:val="21"/>
                <w:szCs w:val="21"/>
              </w:rPr>
              <w:t>在能源、金融、政务这类强监管行业,审计能力不是'锦上添花',而是'准入门槛'。对通用 Agent 框架(LangChain / LangGraph / CrewAI 等)而言,这是结构性缺失——审计能力需要事后补丁;对 SDAFI 而言,这是架构副产物——每一次决策天然产出完整、结构化、可回放的证据链。</w:t>
            </w:r>
          </w:p>
        </w:tc>
      </w:tr>
    </w:tbl>
    <w:p w14:paraId="717DEF59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4.5.1  五阶段闭环 → 五张审计表的硬性映射</w:t>
      </w:r>
    </w:p>
    <w:p w14:paraId="64F17A58">
      <w:pPr>
        <w:spacing w:before="80" w:after="80" w:line="340" w:lineRule="auto"/>
        <w:jc w:val="both"/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SDAFI 的 S→D→A→F→I 五阶段闭环不只是方法论,在工程上对应数据库的五张审计表。每一次 Agent 决策循环,都会在这五张表中原生留下完整证据,无需任何额外的审计代码:</w:t>
      </w:r>
    </w:p>
    <w:p w14:paraId="68E37FD3">
      <w:pPr>
        <w:spacing w:before="80" w:after="80" w:line="340" w:lineRule="auto"/>
        <w:jc w:val="both"/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</w:pPr>
      <w:r>
        <w:drawing>
          <wp:inline distT="0" distB="0" distL="114300" distR="114300">
            <wp:extent cx="6117590" cy="4587875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458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BA676">
      <w:pPr>
        <w:spacing w:before="80" w:after="80" w:line="340" w:lineRule="auto"/>
        <w:jc w:val="both"/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</w:pP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400"/>
        <w:gridCol w:w="2500"/>
        <w:gridCol w:w="3238"/>
      </w:tblGrid>
      <w:tr w14:paraId="0D98F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53D847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B32328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回答的审计问题</w:t>
            </w:r>
          </w:p>
        </w:tc>
        <w:tc>
          <w:tcPr>
            <w:tcW w:w="2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C10822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对应数据库表</w:t>
            </w:r>
          </w:p>
        </w:tc>
        <w:tc>
          <w:tcPr>
            <w:tcW w:w="3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D23D55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记录内容</w:t>
            </w:r>
          </w:p>
        </w:tc>
      </w:tr>
      <w:tr w14:paraId="05940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1240C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S - Sense</w:t>
            </w:r>
          </w:p>
        </w:tc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241B1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基于什么数据决策?</w:t>
            </w:r>
          </w:p>
        </w:tc>
        <w:tc>
          <w:tcPr>
            <w:tcW w:w="2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4F0F7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device_pool / revenue_pool</w:t>
            </w:r>
          </w:p>
        </w:tc>
        <w:tc>
          <w:tcPr>
            <w:tcW w:w="3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EE832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数据池快照(timestamp 精确到秒)</w:t>
            </w:r>
          </w:p>
        </w:tc>
      </w:tr>
      <w:tr w14:paraId="7C602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537B1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D - Decide</w:t>
            </w:r>
          </w:p>
        </w:tc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6F16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怎么决策的?</w:t>
            </w:r>
          </w:p>
        </w:tc>
        <w:tc>
          <w:tcPr>
            <w:tcW w:w="2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98FEF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cycle_log</w:t>
            </w:r>
          </w:p>
        </w:tc>
        <w:tc>
          <w:tcPr>
            <w:tcW w:w="3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753EB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Prompt + 规则命中 + 决策输入全量</w:t>
            </w:r>
          </w:p>
        </w:tc>
      </w:tr>
      <w:tr w14:paraId="02B51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D0AA8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A - Act</w:t>
            </w:r>
          </w:p>
        </w:tc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C911C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影响了什么?</w:t>
            </w:r>
          </w:p>
        </w:tc>
        <w:tc>
          <w:tcPr>
            <w:tcW w:w="2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AEA2E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agent_signal_log</w:t>
            </w:r>
          </w:p>
        </w:tc>
        <w:tc>
          <w:tcPr>
            <w:tcW w:w="3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3CA3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下游影响和跨 Agent 信号全追踪</w:t>
            </w:r>
          </w:p>
        </w:tc>
      </w:tr>
      <w:tr w14:paraId="61196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6E237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F - Feedback</w:t>
            </w:r>
          </w:p>
        </w:tc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ADD59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效果怎么样?</w:t>
            </w:r>
          </w:p>
        </w:tc>
        <w:tc>
          <w:tcPr>
            <w:tcW w:w="2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942E0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feedback_log</w:t>
            </w:r>
          </w:p>
        </w:tc>
        <w:tc>
          <w:tcPr>
            <w:tcW w:w="3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2D3BE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真实值 vs 预测值偏差(deviation)</w:t>
            </w:r>
          </w:p>
        </w:tc>
      </w:tr>
      <w:tr w14:paraId="45C4A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2DC98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I - Improve</w:t>
            </w:r>
          </w:p>
        </w:tc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57574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怎么修正?</w:t>
            </w:r>
          </w:p>
        </w:tc>
        <w:tc>
          <w:tcPr>
            <w:tcW w:w="2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F75E0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improve_log</w:t>
            </w:r>
          </w:p>
        </w:tc>
        <w:tc>
          <w:tcPr>
            <w:tcW w:w="3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94F1B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Calibration 调整轨迹和参数变更历史</w:t>
            </w:r>
          </w:p>
        </w:tc>
      </w:tr>
    </w:tbl>
    <w:p w14:paraId="515930E3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这意味着什么?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 xml:space="preserve"> 当银保监现场检查或内部合规审计要求'查这一笔授信的决策依据'时,合规部门不需要发邮件让科技部门去导日志——直接 SQL 查询五张表,就能拿到完整的决策证据链。</w:t>
      </w: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这是产品级别的可审计性,不是文档级别的可审计性。</w:t>
      </w:r>
    </w:p>
    <w:p w14:paraId="40BC313C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4.5.2  关键架构纪律:'只有 Act 阶段能写'</w:t>
      </w:r>
    </w:p>
    <w:p w14:paraId="636A7209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SDAFI 还有一条非常重要的工程纪律——五个阶段中,只有 Act(行动)阶段被允许向数据库写入,其他四个阶段严格只读。这条纪律的合规价值在于:</w:t>
      </w:r>
    </w:p>
    <w:p w14:paraId="7BC34724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纪律一:写入路径单一可追溯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 xml:space="preserve"> — 任何数据变更都能精确追溯到唯一的 Act 操作,不会出现'这个数据改了但说不清谁改的'。</w:t>
      </w:r>
    </w:p>
    <w:p w14:paraId="3F50C8D9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纪律二:状态变更可回滚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 xml:space="preserve"> — 每一次写入都对应一次完整的 S→D→A 决策记录,如果决策被认定有误,可以精确还原到决策前状态。</w:t>
      </w:r>
    </w:p>
    <w:p w14:paraId="0C1FB604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纪律三:Agent 间协作零混淆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 xml:space="preserve"> — 多个 Agent 通过共享数据池协作,但写入边界清晰,不会出现'两个 Agent 同时改一个数据'的灰色地带。</w:t>
      </w:r>
    </w:p>
    <w:p w14:paraId="08431B00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4.5.3  Agent 间协作零直接调用 — 数据池为唯一介质</w:t>
      </w:r>
    </w:p>
    <w:p w14:paraId="127195F6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市面上其他 Agent 框架(如 LangGraph、CrewAI)允许 Agent 之间通过自然语言协商,事后无法结构化回溯——监管问'A Agent 是怎么说服 B Agent 的',答不上来。</w:t>
      </w:r>
    </w:p>
    <w:p w14:paraId="5BE08A15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SDAFI 强制所有 Agent 交互必须经过 PostgreSQL 数据池(具体为 agent_signal_log 表):</w:t>
      </w:r>
    </w:p>
    <w:p w14:paraId="15BB3E4F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• 每一次跨 Agent 协作都是一条 SQL 可查的结构化记录;</w:t>
      </w:r>
    </w:p>
    <w:p w14:paraId="38005242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• Agent 间不直接通信,通过数据池的 LISTEN/NOTIFY 机制异步唤醒;</w:t>
      </w:r>
    </w:p>
    <w:p w14:paraId="38A8AAF8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• 即使部署多实例(横向扩展),所有审计证据汇集到同一个 PG 数据库,确保'单一真相源'。</w:t>
      </w:r>
    </w:p>
    <w:p w14:paraId="5D7BBB03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结果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:监管要求查'这笔授信审批中,18 个 Agent 之间是怎么协作做出决策的',产品能给出一份完整的、结构化的、可视化的协作时序图——而不是'对不起,Agent 之间的对话日志我们没存'。</w:t>
      </w:r>
    </w:p>
    <w:p w14:paraId="4A0CD9C2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4.5.4  与同类 AI 框架的审计能力对比</w:t>
      </w:r>
    </w:p>
    <w:p w14:paraId="1E62B148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我们把 SDAFI 与市场上主流的 AI Agent 框架在审计能力上做了系统性对比。这张表对银行风控合规部门判断技术选型有直接价值: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900"/>
        <w:gridCol w:w="2200"/>
        <w:gridCol w:w="2538"/>
      </w:tblGrid>
      <w:tr w14:paraId="4B43C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E1E63C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审计维度</w:t>
            </w:r>
          </w:p>
        </w:tc>
        <w:tc>
          <w:tcPr>
            <w:tcW w:w="19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311817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LangChain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7BE16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LangGraph / CrewAI</w:t>
            </w:r>
          </w:p>
        </w:tc>
        <w:tc>
          <w:tcPr>
            <w:tcW w:w="25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69A68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SDAFI</w:t>
            </w:r>
          </w:p>
        </w:tc>
      </w:tr>
      <w:tr w14:paraId="57EAA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3A345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决策输入留痕(基于什么数据)</w:t>
            </w:r>
          </w:p>
        </w:tc>
        <w:tc>
          <w:tcPr>
            <w:tcW w:w="19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056D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✗ 内存瞬态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60272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△ checkpoint 粗粒度</w:t>
            </w:r>
          </w:p>
        </w:tc>
        <w:tc>
          <w:tcPr>
            <w:tcW w:w="25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25DF2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✓ 数据池快照带 timestamp</w:t>
            </w:r>
          </w:p>
        </w:tc>
      </w:tr>
      <w:tr w14:paraId="6D9DB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55FDC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决策过程回放(规则命中)</w:t>
            </w:r>
          </w:p>
        </w:tc>
        <w:tc>
          <w:tcPr>
            <w:tcW w:w="19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269EB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✗ 需额外日志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D0544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△ 状态快照</w:t>
            </w:r>
          </w:p>
        </w:tc>
        <w:tc>
          <w:tcPr>
            <w:tcW w:w="25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21B55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✓ cycle_log 完整记录</w:t>
            </w:r>
          </w:p>
        </w:tc>
      </w:tr>
      <w:tr w14:paraId="66679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DE272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协作因果链(谁触发了谁)</w:t>
            </w:r>
          </w:p>
        </w:tc>
        <w:tc>
          <w:tcPr>
            <w:tcW w:w="19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CF868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✗ 无结构化记录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71416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△ 节点间 message</w:t>
            </w:r>
          </w:p>
        </w:tc>
        <w:tc>
          <w:tcPr>
            <w:tcW w:w="25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FCAF6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✓ agent_signal_log 全量</w:t>
            </w:r>
          </w:p>
        </w:tc>
      </w:tr>
      <w:tr w14:paraId="1DBB7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8F84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效果验证轨迹(事后效果)</w:t>
            </w:r>
          </w:p>
        </w:tc>
        <w:tc>
          <w:tcPr>
            <w:tcW w:w="19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B0051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✗ 不在设计范围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A5CDD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✗ 不在设计范围</w:t>
            </w:r>
          </w:p>
        </w:tc>
        <w:tc>
          <w:tcPr>
            <w:tcW w:w="25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7D779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✓ feedback_log deviation</w:t>
            </w:r>
          </w:p>
        </w:tc>
      </w:tr>
      <w:tr w14:paraId="5B085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567D4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自修正历史(参数演化)</w:t>
            </w:r>
          </w:p>
        </w:tc>
        <w:tc>
          <w:tcPr>
            <w:tcW w:w="19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623B7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✗ 无此概念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747A0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✗ 无此概念</w:t>
            </w:r>
          </w:p>
        </w:tc>
        <w:tc>
          <w:tcPr>
            <w:tcW w:w="25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EA861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✓ improve_log</w:t>
            </w:r>
          </w:p>
        </w:tc>
      </w:tr>
      <w:tr w14:paraId="3B4B7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574D2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跨实例审计一致性</w:t>
            </w:r>
          </w:p>
        </w:tc>
        <w:tc>
          <w:tcPr>
            <w:tcW w:w="19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99684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✗ 难以保证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059AA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△ 需外部协调</w:t>
            </w:r>
          </w:p>
        </w:tc>
        <w:tc>
          <w:tcPr>
            <w:tcW w:w="25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A7300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✓ PG 单一真相源</w:t>
            </w:r>
          </w:p>
        </w:tc>
      </w:tr>
    </w:tbl>
    <w:p w14:paraId="2FBD08F1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/>
          <w:iCs/>
          <w:color w:val="5A6373"/>
          <w:sz w:val="19"/>
          <w:szCs w:val="19"/>
        </w:rPr>
        <w:t>注:✓ = 原生支持;△ = 需自行实现;✗ = 不在设计范围。</w:t>
      </w:r>
    </w:p>
    <w:p w14:paraId="6743BD8C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在通用 chatbot / copilot 场景里,SDAFI 未必是最优选择(LangGraph 的灵活性更强)。</w:t>
      </w: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但在银行业这种需要监管级回溯的场景里,SDAFI 是目前唯一开箱即用满足要求的 AI Agent 运行时。</w:t>
      </w:r>
    </w:p>
    <w:p w14:paraId="11286B5D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4.5.5  对接金融监管要求的具体落地</w:t>
      </w:r>
    </w:p>
    <w:p w14:paraId="14A387D1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我们把 SDAFI 的 Audit-by-Design 能力与银行业实际监管要求做了一一对位:</w:t>
      </w:r>
    </w:p>
    <w:tbl>
      <w:tblPr>
        <w:tblStyle w:val="11"/>
        <w:tblW w:w="9638" w:type="dxa"/>
        <w:tblInd w:w="-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200"/>
        <w:gridCol w:w="4938"/>
      </w:tblGrid>
      <w:tr w14:paraId="2C760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30850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监管要求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F81A5F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监管来源</w:t>
            </w:r>
          </w:p>
        </w:tc>
        <w:tc>
          <w:tcPr>
            <w:tcW w:w="49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8EE02F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SDAFI 对应能力</w:t>
            </w:r>
          </w:p>
        </w:tc>
      </w:tr>
      <w:tr w14:paraId="176B2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166B0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信贷决策模型输入输出留痕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00779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银保监现场检查</w:t>
            </w:r>
          </w:p>
        </w:tc>
        <w:tc>
          <w:tcPr>
            <w:tcW w:w="49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436DC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cycle_log + 数据池快照,精确到秒</w:t>
            </w:r>
          </w:p>
        </w:tc>
      </w:tr>
      <w:tr w14:paraId="1B974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4AB2A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可疑交易判定链路可查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7BE38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反洗钱审计</w:t>
            </w:r>
          </w:p>
        </w:tc>
        <w:tc>
          <w:tcPr>
            <w:tcW w:w="49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6F871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agent_signal_log 全量协作记录</w:t>
            </w:r>
          </w:p>
        </w:tc>
      </w:tr>
      <w:tr w14:paraId="6E04D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15970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自动化决策可解释性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422B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《个人信息保护法》第24条</w:t>
            </w:r>
          </w:p>
        </w:tc>
        <w:tc>
          <w:tcPr>
            <w:tcW w:w="49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FE9FF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S→D→A→F→I 五表证据链 + 决策路径回放</w:t>
            </w:r>
          </w:p>
        </w:tc>
      </w:tr>
      <w:tr w14:paraId="3BBF7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F2B7D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穿透式监管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1D6E3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穿透式监管要求</w:t>
            </w:r>
          </w:p>
        </w:tc>
        <w:tc>
          <w:tcPr>
            <w:tcW w:w="49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E8529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数据来源 + 模型版本 + 决策结果三位一体</w:t>
            </w:r>
          </w:p>
        </w:tc>
      </w:tr>
      <w:tr w14:paraId="1989B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E27F0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算法备案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80D56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网信办算法备案</w:t>
            </w:r>
          </w:p>
        </w:tc>
        <w:tc>
          <w:tcPr>
            <w:tcW w:w="49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F5D2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improve_log 记录所有模型参数演化</w:t>
            </w:r>
          </w:p>
        </w:tc>
      </w:tr>
      <w:tr w14:paraId="18FD4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A6E3C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数据要素流通可审计</w:t>
            </w:r>
          </w:p>
        </w:tc>
        <w:tc>
          <w:tcPr>
            <w:tcW w:w="22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8BBAA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公共数据授权运营要求</w:t>
            </w:r>
          </w:p>
        </w:tc>
        <w:tc>
          <w:tcPr>
            <w:tcW w:w="49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91169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agent_signal_log 记录所有数据流向</w:t>
            </w:r>
          </w:p>
        </w:tc>
      </w:tr>
      <w:tr w14:paraId="1B984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gridSpan w:val="3"/>
            <w:tcBorders>
              <w:top w:val="single" w:color="27AE60" w:sz="12" w:space="0"/>
              <w:left w:val="single" w:color="27AE60" w:sz="12" w:space="0"/>
              <w:bottom w:val="single" w:color="27AE60" w:sz="12" w:space="0"/>
              <w:right w:val="single" w:color="27AE60" w:sz="12" w:space="0"/>
            </w:tcBorders>
            <w:shd w:val="clear" w:color="auto" w:fill="FAFAF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58F8A36">
            <w:pPr>
              <w:spacing w:before="0" w:after="80" w:line="340" w:lineRule="auto"/>
              <w:jc w:val="both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27AE60"/>
                <w:sz w:val="24"/>
                <w:szCs w:val="24"/>
              </w:rPr>
              <w:t>▎</w:t>
            </w: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27AE60"/>
                <w:sz w:val="22"/>
                <w:szCs w:val="22"/>
              </w:rPr>
              <w:t xml:space="preserve"> 结论</w:t>
            </w:r>
          </w:p>
          <w:p w14:paraId="499F020A">
            <w:pPr>
              <w:spacing w:before="0" w:after="0" w:line="340" w:lineRule="auto"/>
              <w:jc w:val="both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1F2937"/>
                <w:sz w:val="21"/>
                <w:szCs w:val="21"/>
              </w:rPr>
              <w:t>SDAFI 的 Audit-by-Design 不是产品白皮书里写得好看的承诺,而是数据库表里能 SQL 查询的事实。这让</w:t>
            </w:r>
            <w:r>
              <w:rPr>
                <w:rFonts w:hint="eastAsia" w:cs="宋体"/>
                <w:b w:val="0"/>
                <w:bCs w:val="0"/>
                <w:i w:val="0"/>
                <w:iCs w:val="0"/>
                <w:color w:val="1F2937"/>
                <w:sz w:val="21"/>
                <w:szCs w:val="21"/>
                <w:lang w:eastAsia="zh-CN"/>
              </w:rPr>
              <w:t>金智维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1F2937"/>
                <w:sz w:val="21"/>
                <w:szCs w:val="21"/>
              </w:rPr>
              <w:t>产品在面对银保监现场检查、内部合规审计、算法备案、监管核查时,具有结构性的优势。这种优势在其他 AI Agent 产品上短期内无法被复制——因为它来自架构选择,而不是后期叠加的功能。</w:t>
            </w:r>
          </w:p>
        </w:tc>
      </w:tr>
    </w:tbl>
    <w:p w14:paraId="1E8AE552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更详细的 SDAFI 架构设计与审计证据链实现细节,请参阅我们</w:t>
      </w:r>
      <w:r>
        <w:rPr>
          <w:rFonts w:hint="eastAsia" w:cs="宋体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即将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发布的《SDAFI 业务 Agent 运行时架构白皮书 v2.0》——本节内容是其中合规相关章节的精简版。</w:t>
      </w:r>
    </w:p>
    <w:p w14:paraId="73695656">
      <w:pPr>
        <w:pStyle w:val="2"/>
        <w:pageBreakBefore/>
        <w:spacing w:before="480" w:after="240"/>
      </w:pPr>
      <w:r>
        <w:rPr>
          <w:rFonts w:ascii="黑体" w:hAnsi="黑体" w:eastAsia="黑体" w:cs="黑体"/>
          <w:b/>
          <w:bCs/>
          <w:color w:val="1F3A5F"/>
          <w:sz w:val="40"/>
          <w:szCs w:val="40"/>
        </w:rPr>
        <w:t>第五篇  行业案例与标杆</w:t>
      </w:r>
    </w:p>
    <w:p w14:paraId="68249275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5.1  某省级普惠金融示范区批量授信项目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4EB89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single" w:color="B8941F" w:sz="24" w:space="0"/>
              <w:bottom w:val="nil"/>
              <w:right w:val="nil"/>
            </w:tcBorders>
            <w:shd w:val="clear" w:color="auto" w:fill="FAF7EE"/>
            <w:tcMar>
              <w:top w:w="240" w:type="dxa"/>
              <w:left w:w="320" w:type="dxa"/>
              <w:bottom w:w="240" w:type="dxa"/>
              <w:right w:w="240" w:type="dxa"/>
            </w:tcMar>
          </w:tcPr>
          <w:p w14:paraId="58D37C63">
            <w:pPr>
              <w:spacing w:before="0" w:after="80" w:line="340" w:lineRule="auto"/>
              <w:jc w:val="both"/>
            </w:pPr>
            <w:r>
              <w:rPr>
                <w:rFonts w:ascii="宋体" w:hAnsi="宋体" w:eastAsia="宋体" w:cs="宋体"/>
                <w:b w:val="0"/>
                <w:bCs w:val="0"/>
                <w:i/>
                <w:iCs/>
                <w:color w:val="5A6373"/>
                <w:sz w:val="22"/>
                <w:szCs w:val="22"/>
              </w:rPr>
              <w:t>通过引入</w:t>
            </w:r>
            <w:r>
              <w:rPr>
                <w:rFonts w:hint="eastAsia" w:cs="宋体"/>
                <w:b w:val="0"/>
                <w:bCs w:val="0"/>
                <w:i/>
                <w:iCs/>
                <w:color w:val="5A6373"/>
                <w:sz w:val="22"/>
                <w:szCs w:val="22"/>
                <w:lang w:eastAsia="zh-CN"/>
              </w:rPr>
              <w:t>金智维</w:t>
            </w:r>
            <w:r>
              <w:rPr>
                <w:rFonts w:ascii="宋体" w:hAnsi="宋体" w:eastAsia="宋体" w:cs="宋体"/>
                <w:b w:val="0"/>
                <w:bCs w:val="0"/>
                <w:i/>
                <w:iCs/>
                <w:color w:val="5A6373"/>
                <w:sz w:val="22"/>
                <w:szCs w:val="22"/>
              </w:rPr>
              <w:t>智慧信贷智能体平台,我们用 4 个月时间完成了 35 万户个体工商户和 10 万家小微企业的批量尽调,这在传统模式下需要 200 人的客户经理团队工作 2-3 年才能完成。</w:t>
            </w:r>
          </w:p>
          <w:p w14:paraId="0993757D">
            <w:pPr>
              <w:spacing w:before="0" w:after="0" w:line="340" w:lineRule="auto"/>
              <w:jc w:val="righ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8B95A3"/>
                <w:sz w:val="19"/>
                <w:szCs w:val="19"/>
              </w:rPr>
              <w:t>— 项目方银行普惠金融部负责人(脱敏)</w:t>
            </w:r>
          </w:p>
        </w:tc>
      </w:tr>
    </w:tbl>
    <w:p w14:paraId="29436DB2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项目背景</w:t>
      </w:r>
    </w:p>
    <w:p w14:paraId="5AAC5ABD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项目所在地是华南地区一个具有代表性的地级市——商贸物流型经济结构,登记个体工商户超过 35 万户、小微企业超过 10 万户,与全国其它地市有较强的可比性。当地政府推动'普惠金融示范区'建设,要求当地银行在两年内实现普惠金融户均授信覆盖率提升 50%。</w:t>
      </w:r>
    </w:p>
    <w:p w14:paraId="280B0F5A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传统模式下,要完成这个目标,需要银行投入大量的客户经理人力,实施成本极高、周期极长。承接该任务的某国有大行选择与</w:t>
      </w:r>
      <w:r>
        <w:rPr>
          <w:rFonts w:hint="eastAsia" w:cs="宋体"/>
          <w:b w:val="0"/>
          <w:bCs w:val="0"/>
          <w:i w:val="0"/>
          <w:iCs w:val="0"/>
          <w:color w:val="000000"/>
          <w:sz w:val="21"/>
          <w:szCs w:val="21"/>
          <w:lang w:eastAsia="zh-CN"/>
        </w:rPr>
        <w:t>金智维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合作,采用智慧信贷智能体平台批量完成尽调和初步授信判断。</w:t>
      </w:r>
    </w:p>
    <w:p w14:paraId="4DA73D33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项目方案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838"/>
      </w:tblGrid>
      <w:tr w14:paraId="58C82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0761D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客户对象</w:t>
            </w:r>
          </w:p>
        </w:tc>
        <w:tc>
          <w:tcPr>
            <w:tcW w:w="68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2DC7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35 万个体工商户 + 10 万小微企业</w:t>
            </w:r>
          </w:p>
        </w:tc>
      </w:tr>
      <w:tr w14:paraId="10E67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72839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授信金额范围</w:t>
            </w:r>
          </w:p>
        </w:tc>
        <w:tc>
          <w:tcPr>
            <w:tcW w:w="68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180F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个体户:1-50 万 / 小微:50-1,000 万</w:t>
            </w:r>
          </w:p>
        </w:tc>
      </w:tr>
      <w:tr w14:paraId="1A598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1E77D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数据基础设施</w:t>
            </w:r>
          </w:p>
        </w:tc>
        <w:tc>
          <w:tcPr>
            <w:tcW w:w="68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A3A15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当地公共数据要素平台(对接国资数据运营商)</w:t>
            </w:r>
          </w:p>
        </w:tc>
      </w:tr>
      <w:tr w14:paraId="24767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C4E8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产品 SKU</w:t>
            </w:r>
          </w:p>
        </w:tc>
        <w:tc>
          <w:tcPr>
            <w:tcW w:w="68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BEFA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SKU 1(智能征信报告)+ SKU 4(贷中贷后监控)</w:t>
            </w:r>
          </w:p>
        </w:tc>
      </w:tr>
      <w:tr w14:paraId="15EEB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5D9B6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实施周期</w:t>
            </w:r>
          </w:p>
        </w:tc>
        <w:tc>
          <w:tcPr>
            <w:tcW w:w="68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75A19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4 个月</w:t>
            </w:r>
          </w:p>
        </w:tc>
      </w:tr>
      <w:tr w14:paraId="306A6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7A6F3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项目交付物</w:t>
            </w:r>
          </w:p>
        </w:tc>
        <w:tc>
          <w:tcPr>
            <w:tcW w:w="68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D2C36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35 万份个体户尽调报告 + 10 万份法人小微尽调报告 + 全套监控配置</w:t>
            </w:r>
          </w:p>
        </w:tc>
      </w:tr>
    </w:tbl>
    <w:p w14:paraId="7AC32919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项目成果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9"/>
        <w:gridCol w:w="2409"/>
        <w:gridCol w:w="2410"/>
        <w:gridCol w:w="2410"/>
      </w:tblGrid>
      <w:tr w14:paraId="60E6F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9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200" w:type="dxa"/>
              <w:left w:w="160" w:type="dxa"/>
              <w:bottom w:w="200" w:type="dxa"/>
              <w:right w:w="160" w:type="dxa"/>
            </w:tcMar>
            <w:vAlign w:val="top"/>
          </w:tcPr>
          <w:p w14:paraId="13246289">
            <w:pPr>
              <w:spacing w:before="0" w:after="8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1F3A5F"/>
                <w:sz w:val="20"/>
                <w:szCs w:val="20"/>
              </w:rPr>
              <w:t>完成尽调</w:t>
            </w:r>
          </w:p>
          <w:p w14:paraId="5DAC2638">
            <w:pPr>
              <w:spacing w:before="0" w:after="8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A99D"/>
                <w:sz w:val="32"/>
                <w:szCs w:val="32"/>
              </w:rPr>
              <w:t>45万份</w:t>
            </w:r>
          </w:p>
          <w:p w14:paraId="2B351E3E">
            <w:pPr>
              <w:spacing w:before="0" w:after="0" w:line="34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5A6373"/>
                <w:sz w:val="17"/>
                <w:szCs w:val="17"/>
              </w:rPr>
              <w:t>个体户35万+小微10万</w:t>
            </w:r>
          </w:p>
        </w:tc>
        <w:tc>
          <w:tcPr>
            <w:tcW w:w="2409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200" w:type="dxa"/>
              <w:left w:w="160" w:type="dxa"/>
              <w:bottom w:w="200" w:type="dxa"/>
              <w:right w:w="160" w:type="dxa"/>
            </w:tcMar>
            <w:vAlign w:val="top"/>
          </w:tcPr>
          <w:p w14:paraId="10C759B9">
            <w:pPr>
              <w:spacing w:before="0" w:after="8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1F3A5F"/>
                <w:sz w:val="20"/>
                <w:szCs w:val="20"/>
              </w:rPr>
              <w:t>尽调时间</w:t>
            </w:r>
          </w:p>
          <w:p w14:paraId="265046DD">
            <w:pPr>
              <w:spacing w:before="0" w:after="8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27AE60"/>
                <w:sz w:val="32"/>
                <w:szCs w:val="32"/>
              </w:rPr>
              <w:t>4个月</w:t>
            </w:r>
          </w:p>
          <w:p w14:paraId="50AE13B4">
            <w:pPr>
              <w:spacing w:before="0" w:after="0" w:line="34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5A6373"/>
                <w:sz w:val="17"/>
                <w:szCs w:val="17"/>
              </w:rPr>
              <w:t>原模式需要 2-3 年</w:t>
            </w:r>
          </w:p>
        </w:tc>
        <w:tc>
          <w:tcPr>
            <w:tcW w:w="2409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200" w:type="dxa"/>
              <w:left w:w="160" w:type="dxa"/>
              <w:bottom w:w="200" w:type="dxa"/>
              <w:right w:w="160" w:type="dxa"/>
            </w:tcMar>
            <w:vAlign w:val="top"/>
          </w:tcPr>
          <w:p w14:paraId="3A152059">
            <w:pPr>
              <w:spacing w:before="0" w:after="80" w:line="340" w:lineRule="auto"/>
              <w:jc w:val="center"/>
            </w:pPr>
            <w:r>
              <w:rPr>
                <w:rFonts w:hint="eastAsia" w:cs="宋体"/>
                <w:b/>
                <w:bCs/>
                <w:i w:val="0"/>
                <w:iCs w:val="0"/>
                <w:color w:val="1F3A5F"/>
                <w:sz w:val="20"/>
                <w:szCs w:val="20"/>
                <w:lang w:val="en-US" w:eastAsia="zh-CN"/>
              </w:rPr>
              <w:t>最高</w:t>
            </w: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1F3A5F"/>
                <w:sz w:val="20"/>
                <w:szCs w:val="20"/>
              </w:rPr>
              <w:t>户均成本</w:t>
            </w:r>
          </w:p>
          <w:p w14:paraId="027323C2">
            <w:pPr>
              <w:spacing w:before="0" w:after="8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27AE60"/>
                <w:sz w:val="32"/>
                <w:szCs w:val="32"/>
              </w:rPr>
              <w:t>↓ 92%</w:t>
            </w:r>
          </w:p>
          <w:p w14:paraId="66B05AA7">
            <w:pPr>
              <w:spacing w:before="0" w:after="0" w:line="34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5A6373"/>
                <w:sz w:val="17"/>
                <w:szCs w:val="17"/>
              </w:rPr>
              <w:t>从1,200元降至95元</w:t>
            </w:r>
          </w:p>
        </w:tc>
        <w:tc>
          <w:tcPr>
            <w:tcW w:w="2409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200" w:type="dxa"/>
              <w:left w:w="160" w:type="dxa"/>
              <w:bottom w:w="200" w:type="dxa"/>
              <w:right w:w="160" w:type="dxa"/>
            </w:tcMar>
            <w:vAlign w:val="top"/>
          </w:tcPr>
          <w:p w14:paraId="7DAD1915">
            <w:pPr>
              <w:spacing w:before="0" w:after="80" w:line="340" w:lineRule="auto"/>
              <w:jc w:val="center"/>
            </w:pPr>
            <w:r>
              <w:rPr>
                <w:rFonts w:hint="eastAsia" w:cs="宋体"/>
                <w:b/>
                <w:bCs/>
                <w:i w:val="0"/>
                <w:iCs w:val="0"/>
                <w:color w:val="1F3A5F"/>
                <w:sz w:val="20"/>
                <w:szCs w:val="20"/>
                <w:lang w:val="en-US" w:eastAsia="zh-CN"/>
              </w:rPr>
              <w:t>最高</w:t>
            </w: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1F3A5F"/>
                <w:sz w:val="20"/>
                <w:szCs w:val="20"/>
              </w:rPr>
              <w:t>授信通过率</w:t>
            </w:r>
          </w:p>
          <w:p w14:paraId="46D72191">
            <w:pPr>
              <w:spacing w:before="0" w:after="8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A99D"/>
                <w:sz w:val="32"/>
                <w:szCs w:val="32"/>
              </w:rPr>
              <w:t>73%</w:t>
            </w:r>
          </w:p>
          <w:p w14:paraId="10E54350">
            <w:pPr>
              <w:spacing w:before="0" w:after="0" w:line="34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5A6373"/>
                <w:sz w:val="17"/>
                <w:szCs w:val="17"/>
              </w:rPr>
              <w:t>高于行业平均的60%</w:t>
            </w:r>
          </w:p>
        </w:tc>
      </w:tr>
    </w:tbl>
    <w:p w14:paraId="144F057A"/>
    <w:p w14:paraId="7FF3ADFD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关键经验总结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:</w:t>
      </w:r>
    </w:p>
    <w:p w14:paraId="4C2906E4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 xml:space="preserve">1. </w:t>
      </w: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数据基础先行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:与公共数据要素运营商深度合作,搭建合规数据底座是项目成功的前提;</w:t>
      </w:r>
    </w:p>
    <w:p w14:paraId="6EE26602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 xml:space="preserve">2. </w:t>
      </w: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从轻 SKU 切入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:先从 SKU 1 (报告) 和 SKU 4 (监控) 切入,逐步扩展,避免一开始就触及合规敏感的获客和催收;</w:t>
      </w:r>
    </w:p>
    <w:p w14:paraId="554B08DF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 xml:space="preserve">3. </w:t>
      </w: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人工签批不动摇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:所有授信最终由银行授信审批官人工签批,平台只提供尽调报告和评分建议;</w:t>
      </w:r>
    </w:p>
    <w:p w14:paraId="1D291D1F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 xml:space="preserve">4. </w:t>
      </w: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业务和科技联动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:项目成功的关键是业务部门和科技部门的紧密配合,而不是单纯的'技术采购'。</w:t>
      </w:r>
    </w:p>
    <w:p w14:paraId="592C4592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项目实施过程的三个挑战与应对</w:t>
      </w:r>
    </w:p>
    <w:p w14:paraId="5424BA84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项目实施过程中,我们遇到了三个非常有代表性的挑战,这些经验对其他银行的项目落地具有参考价值。</w:t>
      </w:r>
    </w:p>
    <w:p w14:paraId="1F68A293">
      <w:pPr>
        <w:spacing w:before="200" w:after="100"/>
      </w:pPr>
      <w:r>
        <w:rPr>
          <w:rFonts w:ascii="黑体" w:hAnsi="黑体" w:eastAsia="黑体" w:cs="黑体"/>
          <w:b/>
          <w:bCs/>
          <w:color w:val="5A6373"/>
          <w:sz w:val="22"/>
          <w:szCs w:val="22"/>
        </w:rPr>
        <w:t>挑战一:数据质量参差不齐</w:t>
      </w:r>
    </w:p>
    <w:p w14:paraId="12994703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问题描述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:当地部分区县的工商数据更新滞后,部分企业的纳税数据存在缺失,这导致首批 5,000 户的报告生成中,约 8% 的报告因数据缺失而需要人工补充。</w:t>
      </w:r>
    </w:p>
    <w:p w14:paraId="2116874D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应对方案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:我们与数据运营商合作,为每个 API 设计了'优雅降级'机制——当某个数据 API 返回空值或异常时,Agent 会自动调用备选 API 或在报告中明确标注'该维度数据不可用',而不是输出错误结论。同时,我们与当地数据主管部门共同推进了数据治理项目,在 3 个月内将数据完整性从 92% 提升到 99.2%。</w:t>
      </w:r>
    </w:p>
    <w:p w14:paraId="644A1737">
      <w:pPr>
        <w:spacing w:before="200" w:after="100"/>
      </w:pPr>
      <w:r>
        <w:rPr>
          <w:rFonts w:ascii="黑体" w:hAnsi="黑体" w:eastAsia="黑体" w:cs="黑体"/>
          <w:b/>
          <w:bCs/>
          <w:color w:val="5A6373"/>
          <w:sz w:val="22"/>
          <w:szCs w:val="22"/>
        </w:rPr>
        <w:t>挑战二:批量授权的合规设计</w:t>
      </w:r>
    </w:p>
    <w:p w14:paraId="7ABE2AD4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问题描述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:对 35 万户个体工商户进行批量授信尽调,如何获取 35 万人的合法授权,这是一个非常棘手的合规问题——传统的'营业网点签字 + 留存身份证'模式根本无法承载这个量级。</w:t>
      </w:r>
    </w:p>
    <w:p w14:paraId="3E945FF8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应对方案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:我们与银行的合规部、外部律所共同设计了'三步授权'方案:</w:t>
      </w:r>
    </w:p>
    <w:p w14:paraId="7CEE1B94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第一步,银行通过其合作的政务平台向所有目标个体户推送'授信预审邀请';</w:t>
      </w:r>
    </w:p>
    <w:p w14:paraId="6C44939A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第二步,有意向的个体户通过手机扫描二维码,完成 H5 实名核身 + 人脸识别 + 电子签约,授权银行通过</w:t>
      </w:r>
      <w:r>
        <w:rPr>
          <w:rFonts w:hint="eastAsia" w:cs="宋体"/>
          <w:b w:val="0"/>
          <w:bCs w:val="0"/>
          <w:i w:val="0"/>
          <w:iCs w:val="0"/>
          <w:color w:val="000000"/>
          <w:sz w:val="21"/>
          <w:szCs w:val="21"/>
          <w:lang w:eastAsia="zh-CN"/>
        </w:rPr>
        <w:t>金智维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平台调用相关数据;</w:t>
      </w:r>
    </w:p>
    <w:p w14:paraId="107B336D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第三步,银行收到授权后,触发</w:t>
      </w:r>
      <w:r>
        <w:rPr>
          <w:rFonts w:hint="eastAsia" w:cs="宋体"/>
          <w:b w:val="0"/>
          <w:bCs w:val="0"/>
          <w:i w:val="0"/>
          <w:iCs w:val="0"/>
          <w:color w:val="000000"/>
          <w:sz w:val="21"/>
          <w:szCs w:val="21"/>
          <w:lang w:eastAsia="zh-CN"/>
        </w:rPr>
        <w:t>金智维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平台的尽调报告生成,生成完成后通过短信通知客户预审结果。</w:t>
      </w:r>
    </w:p>
    <w:p w14:paraId="20F88BC0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这套方案最终通过了当地银保监局和网信办的合规备案,成为后续多个普惠金融项目的标准模板。</w:t>
      </w:r>
    </w:p>
    <w:p w14:paraId="12A86515">
      <w:pPr>
        <w:spacing w:before="200" w:after="100"/>
      </w:pPr>
      <w:r>
        <w:rPr>
          <w:rFonts w:ascii="黑体" w:hAnsi="黑体" w:eastAsia="黑体" w:cs="黑体"/>
          <w:b/>
          <w:bCs/>
          <w:color w:val="5A6373"/>
          <w:sz w:val="22"/>
          <w:szCs w:val="22"/>
        </w:rPr>
        <w:t>挑战三:Agent 输出的稳定性</w:t>
      </w:r>
    </w:p>
    <w:p w14:paraId="4486F7FB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问题描述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:大模型驱动的 Agent 输出存在一定的不确定性——同一份输入数据,Agent 可能输出略有差异的报告。这在业务上是不可接受的——银行的审批官需要可预期的、稳定的输出。</w:t>
      </w:r>
    </w:p>
    <w:p w14:paraId="6EE0FA82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应对方案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:我们采用了三层稳定性保障机制——</w:t>
      </w:r>
    </w:p>
    <w:p w14:paraId="263A02F5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底层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:温度参数严格控制(temperature=0),保证大模型推理的确定性;</w:t>
      </w:r>
    </w:p>
    <w:p w14:paraId="6F14A9C6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中层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:Prompt 设计采用'强约束格式'(强制结构化 JSON 输出),消除自由发挥的空间;</w:t>
      </w:r>
    </w:p>
    <w:p w14:paraId="48B61C22">
      <w:pPr>
        <w:spacing w:before="80" w:after="80" w:line="340" w:lineRule="auto"/>
        <w:jc w:val="both"/>
      </w:pPr>
      <w:r>
        <w:rPr>
          <w:rFonts w:ascii="宋体" w:hAnsi="宋体" w:eastAsia="宋体" w:cs="宋体"/>
          <w:b/>
          <w:bCs/>
          <w:color w:val="1F3A5F"/>
          <w:sz w:val="21"/>
          <w:szCs w:val="21"/>
        </w:rPr>
        <w:t>上层</w:t>
      </w: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:质量校验 Agent 对每份报告做'合规检查'——如果输出不符合预期格式或包含违禁内容,自动重新生成。</w:t>
      </w:r>
    </w:p>
    <w:p w14:paraId="1DB6913D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经过这三层保障,本项目最终的报告输出稳定性达到 99.7%(即 1000 份报告中只有 3 份需要重新生成)。</w:t>
      </w:r>
    </w:p>
    <w:p w14:paraId="6CE5A467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5.2  其他银行业落地案例(节选)</w:t>
      </w:r>
    </w:p>
    <w:p w14:paraId="0D6C5B08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案例:某城商行小微授信智能化转型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238"/>
      </w:tblGrid>
      <w:tr w14:paraId="1E348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A6416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客户类型</w:t>
            </w:r>
          </w:p>
        </w:tc>
        <w:tc>
          <w:tcPr>
            <w:tcW w:w="7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6F5EE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中型城商行(资产规模 5,000 亿)</w:t>
            </w:r>
          </w:p>
        </w:tc>
      </w:tr>
      <w:tr w14:paraId="4D22B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4AD06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业务痛点</w:t>
            </w:r>
          </w:p>
        </w:tc>
        <w:tc>
          <w:tcPr>
            <w:tcW w:w="7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F77EE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小微贷款户均尽调成本高,客户经理疲于奔命</w:t>
            </w:r>
          </w:p>
        </w:tc>
      </w:tr>
      <w:tr w14:paraId="5A566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1B48A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解决方案</w:t>
            </w:r>
          </w:p>
        </w:tc>
        <w:tc>
          <w:tcPr>
            <w:tcW w:w="7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12B15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部署 SKU 1 + SKU 4,覆盖法人小微贷款全流程</w:t>
            </w:r>
          </w:p>
        </w:tc>
      </w:tr>
      <w:tr w14:paraId="37293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A0BB3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实施周期</w:t>
            </w:r>
          </w:p>
        </w:tc>
        <w:tc>
          <w:tcPr>
            <w:tcW w:w="7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36C4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 个月</w:t>
            </w:r>
          </w:p>
        </w:tc>
      </w:tr>
      <w:tr w14:paraId="163D4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F3D71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关键成果</w:t>
            </w:r>
          </w:p>
        </w:tc>
        <w:tc>
          <w:tcPr>
            <w:tcW w:w="7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00013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客户经理户均处理能力从 80 户/年提升至 600 户/年,小微贷款不良率下降 0.4pp</w:t>
            </w:r>
          </w:p>
        </w:tc>
      </w:tr>
    </w:tbl>
    <w:p w14:paraId="59DA990B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案例:某农商行涉农信贷批量获客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238"/>
      </w:tblGrid>
      <w:tr w14:paraId="64834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1EC6BC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客户类型</w:t>
            </w:r>
          </w:p>
        </w:tc>
        <w:tc>
          <w:tcPr>
            <w:tcW w:w="7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BE2EA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县域农商行(资产规模 800 亿)</w:t>
            </w:r>
          </w:p>
        </w:tc>
      </w:tr>
      <w:tr w14:paraId="7A2E4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EF7B4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业务痛点</w:t>
            </w:r>
          </w:p>
        </w:tc>
        <w:tc>
          <w:tcPr>
            <w:tcW w:w="7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CF1C2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涉农客户分散,获客成本高,缺乏有效白名单</w:t>
            </w:r>
          </w:p>
        </w:tc>
      </w:tr>
      <w:tr w14:paraId="3E0A7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C3600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解决方案</w:t>
            </w:r>
          </w:p>
        </w:tc>
        <w:tc>
          <w:tcPr>
            <w:tcW w:w="7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AA0F5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部署 SKU 1 + SKU 2,基于公共数据生成涉农白名单</w:t>
            </w:r>
          </w:p>
        </w:tc>
      </w:tr>
      <w:tr w14:paraId="2E4DC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EA3EA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实施周期</w:t>
            </w:r>
          </w:p>
        </w:tc>
        <w:tc>
          <w:tcPr>
            <w:tcW w:w="7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2A8EB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2 个月</w:t>
            </w:r>
          </w:p>
        </w:tc>
      </w:tr>
      <w:tr w14:paraId="69272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02D8C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关键成果</w:t>
            </w:r>
          </w:p>
        </w:tc>
        <w:tc>
          <w:tcPr>
            <w:tcW w:w="7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288CCD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涉农白名单 8 万户,转化率 12%(行业平均 3%)</w:t>
            </w:r>
          </w:p>
        </w:tc>
      </w:tr>
    </w:tbl>
    <w:p w14:paraId="3A8FD69A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案例:某股份制银行供应链金融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238"/>
      </w:tblGrid>
      <w:tr w14:paraId="3E48E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707F9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客户类型</w:t>
            </w:r>
          </w:p>
        </w:tc>
        <w:tc>
          <w:tcPr>
            <w:tcW w:w="7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4FE97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股份制银行总行供应链金融部</w:t>
            </w:r>
          </w:p>
        </w:tc>
      </w:tr>
      <w:tr w14:paraId="126CA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C5FA7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业务痛点</w:t>
            </w:r>
          </w:p>
        </w:tc>
        <w:tc>
          <w:tcPr>
            <w:tcW w:w="7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A5512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核心企业上下游小微企业征信难,授信流程慢</w:t>
            </w:r>
          </w:p>
        </w:tc>
      </w:tr>
      <w:tr w14:paraId="0CA26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55F17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解决方案</w:t>
            </w:r>
          </w:p>
        </w:tc>
        <w:tc>
          <w:tcPr>
            <w:tcW w:w="7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EAC4B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部署 SKU 1 + SKU 3,深度对接核心企业 ERP 数据</w:t>
            </w:r>
          </w:p>
        </w:tc>
      </w:tr>
      <w:tr w14:paraId="442FD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1035F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实施周期</w:t>
            </w:r>
          </w:p>
        </w:tc>
        <w:tc>
          <w:tcPr>
            <w:tcW w:w="7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2325C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5 个月</w:t>
            </w:r>
          </w:p>
        </w:tc>
      </w:tr>
      <w:tr w14:paraId="212AC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E108D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关键成果</w:t>
            </w:r>
          </w:p>
        </w:tc>
        <w:tc>
          <w:tcPr>
            <w:tcW w:w="7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ECF56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供应链小微授信 T+1 完成,授信户数提升 4 倍</w:t>
            </w:r>
          </w:p>
        </w:tc>
      </w:tr>
    </w:tbl>
    <w:p w14:paraId="59A8E043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/>
          <w:iCs/>
          <w:color w:val="5A6373"/>
          <w:sz w:val="19"/>
          <w:szCs w:val="19"/>
        </w:rPr>
        <w:t>(以上案例已对客户名称及敏感数据进行脱敏处理,详细数据可在签署 NDA 后提供)</w:t>
      </w:r>
    </w:p>
    <w:p w14:paraId="7A547776">
      <w:pPr>
        <w:pStyle w:val="2"/>
        <w:pageBreakBefore/>
        <w:spacing w:before="480" w:after="240"/>
      </w:pPr>
      <w:r>
        <w:rPr>
          <w:rFonts w:ascii="黑体" w:hAnsi="黑体" w:eastAsia="黑体" w:cs="黑体"/>
          <w:b/>
          <w:bCs/>
          <w:color w:val="1F3A5F"/>
          <w:sz w:val="40"/>
          <w:szCs w:val="40"/>
        </w:rPr>
        <w:t>第六篇  实施路径与服务</w:t>
      </w:r>
    </w:p>
    <w:p w14:paraId="196B6452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6.1  三阶段实施路线图</w:t>
      </w:r>
    </w:p>
    <w:p w14:paraId="333DBF2B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基于过往项目经验,我们建议银行采用'POC 验证 → 试点推广 → 全面落地'的三阶段实施路径,每阶段都有明确的目标和退出条件。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1300"/>
        <w:gridCol w:w="2300"/>
        <w:gridCol w:w="2700"/>
        <w:gridCol w:w="1638"/>
      </w:tblGrid>
      <w:tr w14:paraId="5AE4A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3552D6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1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8DB7E0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周期</w:t>
            </w:r>
          </w:p>
        </w:tc>
        <w:tc>
          <w:tcPr>
            <w:tcW w:w="2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7E4587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核心目标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34A15A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关键交付</w:t>
            </w:r>
          </w:p>
        </w:tc>
        <w:tc>
          <w:tcPr>
            <w:tcW w:w="1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C47144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成功标准</w:t>
            </w:r>
          </w:p>
        </w:tc>
      </w:tr>
      <w:tr w14:paraId="6A1AC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718E6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阶段一:POC 验证</w:t>
            </w:r>
          </w:p>
        </w:tc>
        <w:tc>
          <w:tcPr>
            <w:tcW w:w="1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EEC0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4-6 周</w:t>
            </w:r>
          </w:p>
        </w:tc>
        <w:tc>
          <w:tcPr>
            <w:tcW w:w="2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62DF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在小范围验证产品价值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0CDCB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100-500 份尽调报告 + 评估报告</w:t>
            </w:r>
          </w:p>
        </w:tc>
        <w:tc>
          <w:tcPr>
            <w:tcW w:w="1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13D5F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报告质量评分≥80,业务部门满意度≥80%</w:t>
            </w:r>
          </w:p>
        </w:tc>
      </w:tr>
      <w:tr w14:paraId="24A2A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D38A3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阶段二:试点推广</w:t>
            </w:r>
          </w:p>
        </w:tc>
        <w:tc>
          <w:tcPr>
            <w:tcW w:w="1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A95F7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3-4 个月</w:t>
            </w:r>
          </w:p>
        </w:tc>
        <w:tc>
          <w:tcPr>
            <w:tcW w:w="2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E76027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在重点分行/支行试点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7A52F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1-3 家分行/支行 + 一个完整业务场景</w:t>
            </w:r>
          </w:p>
        </w:tc>
        <w:tc>
          <w:tcPr>
            <w:tcW w:w="1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F2C3B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业务指标(户均成本/通过率/不良率)达标</w:t>
            </w:r>
          </w:p>
        </w:tc>
      </w:tr>
      <w:tr w14:paraId="4DA83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8AEA2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阶段三:全面落地</w:t>
            </w:r>
          </w:p>
        </w:tc>
        <w:tc>
          <w:tcPr>
            <w:tcW w:w="1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83B6C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6-12 个月</w:t>
            </w:r>
          </w:p>
        </w:tc>
        <w:tc>
          <w:tcPr>
            <w:tcW w:w="23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6FF22F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全行推广 + 流程改造</w:t>
            </w:r>
          </w:p>
        </w:tc>
        <w:tc>
          <w:tcPr>
            <w:tcW w:w="2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0D12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全行业务流程 + 系统集成</w:t>
            </w:r>
          </w:p>
        </w:tc>
        <w:tc>
          <w:tcPr>
            <w:tcW w:w="16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9FEDC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成为银行普惠金融的核心基础设施</w:t>
            </w:r>
          </w:p>
        </w:tc>
      </w:tr>
    </w:tbl>
    <w:p w14:paraId="5AD7BEBE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6.2  对接清单</w:t>
      </w:r>
    </w:p>
    <w:p w14:paraId="0ACF19B6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银行启动 POC 项目,我们需要银行配合提供以下资源: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400"/>
        <w:gridCol w:w="3538"/>
      </w:tblGrid>
      <w:tr w14:paraId="130BD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F1DCC0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资源类型</w:t>
            </w:r>
          </w:p>
        </w:tc>
        <w:tc>
          <w:tcPr>
            <w:tcW w:w="4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86E270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具体内容</w:t>
            </w:r>
          </w:p>
        </w:tc>
        <w:tc>
          <w:tcPr>
            <w:tcW w:w="35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820E68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配合方</w:t>
            </w:r>
          </w:p>
        </w:tc>
      </w:tr>
      <w:tr w14:paraId="48F3B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7A6FD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业务侧资源</w:t>
            </w:r>
          </w:p>
        </w:tc>
        <w:tc>
          <w:tcPr>
            <w:tcW w:w="4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E3B9F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目标客户群定义 / 业务场景描述 / 历史数据(脱敏)</w:t>
            </w:r>
          </w:p>
        </w:tc>
        <w:tc>
          <w:tcPr>
            <w:tcW w:w="35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ABF9D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银行普惠金融部 / 小微金融部</w:t>
            </w:r>
          </w:p>
        </w:tc>
      </w:tr>
      <w:tr w14:paraId="3A50C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7419A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数据侧资源</w:t>
            </w:r>
          </w:p>
        </w:tc>
        <w:tc>
          <w:tcPr>
            <w:tcW w:w="4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C7D49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客户基础信息(脱敏) / 数据使用授权</w:t>
            </w:r>
          </w:p>
        </w:tc>
        <w:tc>
          <w:tcPr>
            <w:tcW w:w="35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80476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银行客户经理 / 数据治理部</w:t>
            </w:r>
          </w:p>
        </w:tc>
      </w:tr>
      <w:tr w14:paraId="50E50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A62DC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科技侧资源</w:t>
            </w:r>
          </w:p>
        </w:tc>
        <w:tc>
          <w:tcPr>
            <w:tcW w:w="4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65841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对接接口设计 / 部署环境 / 安全合规评审</w:t>
            </w:r>
          </w:p>
        </w:tc>
        <w:tc>
          <w:tcPr>
            <w:tcW w:w="35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B99CD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银行科技部 / 信息安全部</w:t>
            </w:r>
          </w:p>
        </w:tc>
      </w:tr>
      <w:tr w14:paraId="3F6AC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16F4B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合规侧资源</w:t>
            </w:r>
          </w:p>
        </w:tc>
        <w:tc>
          <w:tcPr>
            <w:tcW w:w="4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6AB40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数据使用合规评审 / 模型备案配合</w:t>
            </w:r>
          </w:p>
        </w:tc>
        <w:tc>
          <w:tcPr>
            <w:tcW w:w="35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BCFB7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银行合规部 / 法务部</w:t>
            </w:r>
          </w:p>
        </w:tc>
      </w:tr>
    </w:tbl>
    <w:p w14:paraId="1C96847E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6.3  我们提供的服务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12"/>
        <w:gridCol w:w="3213"/>
        <w:gridCol w:w="3213"/>
      </w:tblGrid>
      <w:tr w14:paraId="465F9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12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DCE6F1"/>
            <w:tcMar>
              <w:top w:w="240" w:type="dxa"/>
              <w:left w:w="200" w:type="dxa"/>
              <w:bottom w:w="240" w:type="dxa"/>
              <w:right w:w="200" w:type="dxa"/>
            </w:tcMar>
            <w:vAlign w:val="top"/>
          </w:tcPr>
          <w:p w14:paraId="7B971449">
            <w:pPr>
              <w:spacing w:before="0" w:after="10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1F3A5F"/>
                <w:sz w:val="28"/>
                <w:szCs w:val="28"/>
              </w:rPr>
              <w:t>👥</w:t>
            </w:r>
          </w:p>
          <w:p w14:paraId="66719A6B">
            <w:pPr>
              <w:spacing w:before="0" w:after="10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1F3A5F"/>
                <w:sz w:val="22"/>
                <w:szCs w:val="22"/>
              </w:rPr>
              <w:t>专属服务团队</w:t>
            </w:r>
          </w:p>
          <w:p w14:paraId="32F7028D">
            <w:pPr>
              <w:spacing w:before="0" w:after="0"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5A6373"/>
                <w:sz w:val="19"/>
                <w:szCs w:val="19"/>
              </w:rPr>
              <w:t>每个项目配备 1 名项目经理 + 2-3 名产品/算法/数据工程师 + 1 名合规顾问,7×24 响应</w:t>
            </w:r>
          </w:p>
        </w:tc>
        <w:tc>
          <w:tcPr>
            <w:tcW w:w="3212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D9F2EC"/>
            <w:tcMar>
              <w:top w:w="240" w:type="dxa"/>
              <w:left w:w="200" w:type="dxa"/>
              <w:bottom w:w="240" w:type="dxa"/>
              <w:right w:w="200" w:type="dxa"/>
            </w:tcMar>
            <w:vAlign w:val="top"/>
          </w:tcPr>
          <w:p w14:paraId="441816ED">
            <w:pPr>
              <w:spacing w:before="0" w:after="10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A99D"/>
                <w:sz w:val="28"/>
                <w:szCs w:val="28"/>
              </w:rPr>
              <w:t>📚</w:t>
            </w:r>
          </w:p>
          <w:p w14:paraId="6E1A764F">
            <w:pPr>
              <w:spacing w:before="0" w:after="10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A99D"/>
                <w:sz w:val="22"/>
                <w:szCs w:val="22"/>
              </w:rPr>
              <w:t>完整知识转移</w:t>
            </w:r>
          </w:p>
          <w:p w14:paraId="01778A3A">
            <w:pPr>
              <w:spacing w:before="0" w:after="0"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5A6373"/>
                <w:sz w:val="19"/>
                <w:szCs w:val="19"/>
              </w:rPr>
              <w:t>提供产品文档、API手册、操作手册、培训视频,确保银行团队能独立运维</w:t>
            </w:r>
          </w:p>
        </w:tc>
        <w:tc>
          <w:tcPr>
            <w:tcW w:w="3212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CEFE0"/>
            <w:tcMar>
              <w:top w:w="240" w:type="dxa"/>
              <w:left w:w="200" w:type="dxa"/>
              <w:bottom w:w="240" w:type="dxa"/>
              <w:right w:w="200" w:type="dxa"/>
            </w:tcMar>
            <w:vAlign w:val="top"/>
          </w:tcPr>
          <w:p w14:paraId="26A9AE3F">
            <w:pPr>
              <w:spacing w:before="0" w:after="10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E8843C"/>
                <w:sz w:val="28"/>
                <w:szCs w:val="28"/>
              </w:rPr>
              <w:t>🛡️</w:t>
            </w:r>
          </w:p>
          <w:p w14:paraId="4F519584">
            <w:pPr>
              <w:spacing w:before="0" w:after="10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E8843C"/>
                <w:sz w:val="22"/>
                <w:szCs w:val="22"/>
              </w:rPr>
              <w:t>持续运营保障</w:t>
            </w:r>
          </w:p>
          <w:p w14:paraId="26C6291B">
            <w:pPr>
              <w:spacing w:before="0" w:after="0"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5A6373"/>
                <w:sz w:val="19"/>
                <w:szCs w:val="19"/>
              </w:rPr>
              <w:t>上线后 7×24 监控,故障 4 小时响应,8 小时解决,SLA 99.9%</w:t>
            </w:r>
          </w:p>
        </w:tc>
      </w:tr>
    </w:tbl>
    <w:p w14:paraId="54F4C32B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6.4  常见问题(FAQ)</w:t>
      </w:r>
    </w:p>
    <w:p w14:paraId="1180BDDC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基于过往项目经验,我们整理了银行业客户最常关心的问题及我们的回应。</w:t>
      </w:r>
    </w:p>
    <w:p w14:paraId="02D3A0EA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Q1:Agent 生成的报告会替代客户经理的判断吗?</w:t>
      </w:r>
    </w:p>
    <w:p w14:paraId="1345A416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不会。我们坚持把 AI 定位为'增强工具'而非'替代工具'。客户经理的核心价值在于实地走访、与客户建立信任关系、做出最终判断,这些都不是 Agent 能替代的。Agent 的作用是让客户经理从繁琐的数据采集和报告撰写中解放出来,专注于更有价值的工作。</w:t>
      </w:r>
    </w:p>
    <w:p w14:paraId="6D83BC21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在我们承接的批量授信项目中,客户经理的工作内容从'70% 写报告 + 30% 见客户'转变为'30% 复核报告 + 70% 见客户',总服务客户数提升 7 倍以上,但每个客户的接触深度反而提升了。</w:t>
      </w:r>
    </w:p>
    <w:p w14:paraId="17ED880E">
      <w:pPr>
        <w:pStyle w:val="4"/>
        <w:spacing w:before="280" w:after="140"/>
        <w:rPr>
          <w:rFonts w:ascii="黑体" w:hAnsi="黑体" w:eastAsia="黑体" w:cs="黑体"/>
          <w:b/>
          <w:bCs/>
          <w:color w:val="2E75B6"/>
          <w:sz w:val="26"/>
          <w:szCs w:val="26"/>
        </w:rPr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Q2:如果 Agent 出错了,谁来负责?</w:t>
      </w:r>
    </w:p>
    <w:p w14:paraId="47EFD29A">
      <w:pPr>
        <w:pStyle w:val="4"/>
        <w:spacing w:before="280" w:after="140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所有授信决策最终由银行授信审批官人工签批,Agent 只提供尽调报告和评分建议。这意味着:</w:t>
      </w:r>
    </w:p>
    <w:p w14:paraId="657F8E68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• 法律责任仍然在银行的授信审批官,与传统模式相同;</w:t>
      </w:r>
    </w:p>
    <w:p w14:paraId="50C1D041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• Agent 的错误会被人工复核环节兜底,不会直接造成损失;</w:t>
      </w:r>
    </w:p>
    <w:p w14:paraId="5D915EA5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• 如果发现 Agent 系统性错误,我们提供产品质量保障——SLA 中明确了准确率指标和问题响应机制。</w:t>
      </w:r>
    </w:p>
    <w:p w14:paraId="3D01D4D6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Q3:数据合规问题如何保障?会不会因为数据问题被监管处罚?</w:t>
      </w:r>
    </w:p>
    <w:p w14:paraId="2EE9A58A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我们从三个层面保障数据合规:</w:t>
      </w:r>
    </w:p>
    <w:p w14:paraId="4C805227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1. 数据源合规:正菱作为国资背景的公共数据要素运营商,其数据采集和提供行为本身就是合规的;</w:t>
      </w:r>
    </w:p>
    <w:p w14:paraId="45F531C8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2. 授权链条合规:涉及个人信息或企业敏感数据的 API 调用,均通过完整的电子签约授权,授权过程全程留痕;</w:t>
      </w:r>
    </w:p>
    <w:p w14:paraId="6E7C3E3D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3. 使用过程合规:数据使用范围严格限定在'本次授信尽调及贷后监控',不挪作他用,可应监管核查。</w:t>
      </w:r>
    </w:p>
    <w:p w14:paraId="6B4DC362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此外,我们与多家头部律所合作,建立了'合规咨询热线',银行在使用产品过程中遇到任何合规问题,可以直接获得专业法律意见。</w:t>
      </w:r>
    </w:p>
    <w:p w14:paraId="4186321B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Q4:产品上线后,如果出现技术故障或停摆怎么办?</w:t>
      </w:r>
    </w:p>
    <w:p w14:paraId="769E77AF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我们提供 SLA 99.9% 的服务承诺(年度故障时间不超过 8.76 小时),具体保障措施包括:</w:t>
      </w:r>
    </w:p>
    <w:p w14:paraId="531873E3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主备容灾:核心服务多机房部署,任一机房故障可自动切换;</w:t>
      </w:r>
    </w:p>
    <w:p w14:paraId="21DD3239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降级机制:在 Agent 服务异常时,可自动降级为'API + 评分卡'模式,保证授信业务不停摆;</w:t>
      </w:r>
    </w:p>
    <w:p w14:paraId="5C1F4F7F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应急响应:7×24 技术支持热线,故障 4 小时内响应,8 小时内恢复;</w:t>
      </w:r>
    </w:p>
    <w:p w14:paraId="1E38259E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数据备份:每日全量备份,可恢复至任意时间点。</w:t>
      </w:r>
    </w:p>
    <w:p w14:paraId="08FCC02C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Q5:Agent 调用大模型,会不会数据泄露?</w:t>
      </w:r>
    </w:p>
    <w:p w14:paraId="5D101EAB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我们采用'国产合规大模型 + 私有化推理'的方案:</w:t>
      </w:r>
    </w:p>
    <w:p w14:paraId="6F436CED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国产合规模型:所有大模型均完成国家网信办的算法备案和模型备案,合规性有保障;</w:t>
      </w:r>
    </w:p>
    <w:p w14:paraId="0587D80C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私有化推理:对国有大行和大型股份制银行,我们提供完整的私有化部署方案——大模型部署在银行行内,所有 Agent 推理过程不出网,从根本上避免数据泄露风险;</w:t>
      </w:r>
    </w:p>
    <w:p w14:paraId="3ADA7994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数据脱敏:即使在 SaaS 模式下,所有发送给大模型的提示词都经过严格脱敏,不包含任何客户敏感信息(姓名、身份证号、手机号等)。</w:t>
      </w:r>
    </w:p>
    <w:p w14:paraId="7BAF99CD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Q6:产品的边界在哪里?哪些场景是不适合的?</w:t>
      </w:r>
    </w:p>
    <w:p w14:paraId="796D3BDD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我们坦诚说明产品的适用边界:</w:t>
      </w:r>
    </w:p>
    <w:p w14:paraId="0F38DF6A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适合:小微企业经营贷、个体工商户经营贷、涉农信贷、供应链金融的下游小微等场景;</w:t>
      </w:r>
    </w:p>
    <w:p w14:paraId="2F86C0C7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部分适合:中型企业(年营收 1-5 亿)的标准化授信,但需要结合传统尽调;</w:t>
      </w:r>
    </w:p>
    <w:p w14:paraId="790B1BCF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不适合:大型企业的复杂授信(并购贷款、项目融资等)、需要深度行业 know-how 的特殊场景(如医疗、影视等垂直行业)、非标准化抵押品(如海外资产、艺术品等)。</w:t>
      </w:r>
    </w:p>
    <w:p w14:paraId="3D6F2A9D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我们建议银行根据自己的客群结构选择合适的应用场景,从最适合的场景切入。</w:t>
      </w:r>
    </w:p>
    <w:p w14:paraId="723DB7AD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6.5  风险声明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1C7FF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single" w:color="B8941F" w:sz="24" w:space="0"/>
              <w:bottom w:val="nil"/>
              <w:right w:val="nil"/>
            </w:tcBorders>
            <w:shd w:val="clear" w:color="auto" w:fill="FAF7EE"/>
            <w:tcMar>
              <w:top w:w="240" w:type="dxa"/>
              <w:left w:w="320" w:type="dxa"/>
              <w:bottom w:w="240" w:type="dxa"/>
              <w:right w:w="240" w:type="dxa"/>
            </w:tcMar>
          </w:tcPr>
          <w:p w14:paraId="67FC48F8">
            <w:pPr>
              <w:spacing w:before="0" w:after="80" w:line="340" w:lineRule="auto"/>
              <w:jc w:val="both"/>
            </w:pPr>
            <w:r>
              <w:rPr>
                <w:rFonts w:ascii="宋体" w:hAnsi="宋体" w:eastAsia="宋体" w:cs="宋体"/>
                <w:b w:val="0"/>
                <w:bCs w:val="0"/>
                <w:i/>
                <w:iCs/>
                <w:color w:val="5A6373"/>
                <w:sz w:val="22"/>
                <w:szCs w:val="22"/>
              </w:rPr>
              <w:t>本白皮书所述的产品功能、性能指标、案例数据等内容,基于</w:t>
            </w:r>
            <w:r>
              <w:rPr>
                <w:rFonts w:hint="eastAsia" w:cs="宋体"/>
                <w:b w:val="0"/>
                <w:bCs w:val="0"/>
                <w:i/>
                <w:iCs/>
                <w:color w:val="5A6373"/>
                <w:sz w:val="22"/>
                <w:szCs w:val="22"/>
                <w:lang w:eastAsia="zh-CN"/>
              </w:rPr>
              <w:t>金智维</w:t>
            </w:r>
            <w:r>
              <w:rPr>
                <w:rFonts w:ascii="宋体" w:hAnsi="宋体" w:eastAsia="宋体" w:cs="宋体"/>
                <w:b w:val="0"/>
                <w:bCs w:val="0"/>
                <w:i/>
                <w:iCs/>
                <w:color w:val="5A6373"/>
                <w:sz w:val="22"/>
                <w:szCs w:val="22"/>
              </w:rPr>
              <w:t>过往项目经验和当前产品能力。具体功能在不同银行的实施过程中可能因数据可用性、监管环境、银行内部流程等因素有所差异。所有商业合作请以正式签署的合同条款为准。</w:t>
            </w:r>
          </w:p>
          <w:p w14:paraId="4BECE29C">
            <w:pPr>
              <w:spacing w:before="0" w:after="0" w:line="340" w:lineRule="auto"/>
              <w:jc w:val="righ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8B95A3"/>
                <w:sz w:val="19"/>
                <w:szCs w:val="19"/>
              </w:rPr>
              <w:t xml:space="preserve">— </w:t>
            </w:r>
            <w:r>
              <w:rPr>
                <w:rFonts w:hint="eastAsia" w:cs="宋体"/>
                <w:b w:val="0"/>
                <w:bCs w:val="0"/>
                <w:i w:val="0"/>
                <w:iCs w:val="0"/>
                <w:color w:val="8B95A3"/>
                <w:sz w:val="19"/>
                <w:szCs w:val="19"/>
                <w:lang w:eastAsia="zh-CN"/>
              </w:rPr>
              <w:t>金智维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8B95A3"/>
                <w:sz w:val="19"/>
                <w:szCs w:val="19"/>
              </w:rPr>
              <w:t>法务部</w:t>
            </w:r>
          </w:p>
        </w:tc>
      </w:tr>
    </w:tbl>
    <w:p w14:paraId="4A85485F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银行业是一个对风险敏感、对合规严格的行业。我们对产品的能力边界保持诚实,对合规风险保持敬畏。我们建议每一位有意向的银行业客户,在做产品选型决定之前:</w:t>
      </w:r>
    </w:p>
    <w:p w14:paraId="7E8A72BB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1. 充分进行 POC 验证:在小范围数据集上验证产品的实际效果,而不是仅依赖白皮书的承诺;</w:t>
      </w:r>
    </w:p>
    <w:p w14:paraId="364B919F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2. 进行严格的合规评审:让银行合规部和外部律师对产品的合规设计进行独立评估;</w:t>
      </w:r>
    </w:p>
    <w:p w14:paraId="223BA1C0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3. 明确双方的权责边界:在合同中清晰约定数据使用、知识产权、责任分担、违约救济等关键条款;</w:t>
      </w:r>
    </w:p>
    <w:p w14:paraId="67DB4FC6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4. 保持必要的人工介入:即使在产品成熟阶段,也建议保留必要的人工审批和抽样复核机制。</w:t>
      </w:r>
    </w:p>
    <w:p w14:paraId="39DC8F1A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我们相信,科技的价值是放大人的能力,而不是替代人的判断。这是</w:t>
      </w:r>
      <w:r>
        <w:rPr>
          <w:rFonts w:hint="eastAsia" w:cs="宋体"/>
          <w:b w:val="0"/>
          <w:bCs w:val="0"/>
          <w:i w:val="0"/>
          <w:iCs w:val="0"/>
          <w:color w:val="000000"/>
          <w:sz w:val="21"/>
          <w:szCs w:val="21"/>
          <w:lang w:eastAsia="zh-CN"/>
        </w:rPr>
        <w:t>金智维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做产品的根本原则,也是我们与银行客户建立长期信任的基础。</w:t>
      </w:r>
    </w:p>
    <w:p w14:paraId="68C2E0F5">
      <w:pPr>
        <w:pStyle w:val="2"/>
        <w:pageBreakBefore/>
        <w:spacing w:before="480" w:after="240"/>
        <w:rPr>
          <w:rFonts w:hint="eastAsia" w:eastAsia="黑体"/>
          <w:lang w:eastAsia="zh-CN"/>
        </w:rPr>
      </w:pPr>
      <w:r>
        <w:rPr>
          <w:rFonts w:ascii="黑体" w:hAnsi="黑体" w:eastAsia="黑体" w:cs="黑体"/>
          <w:b/>
          <w:bCs/>
          <w:color w:val="1F3A5F"/>
          <w:sz w:val="40"/>
          <w:szCs w:val="40"/>
        </w:rPr>
        <w:t>第七篇  关于</w:t>
      </w:r>
      <w:r>
        <w:rPr>
          <w:rFonts w:hint="eastAsia" w:cs="黑体"/>
          <w:b/>
          <w:bCs/>
          <w:color w:val="1F3A5F"/>
          <w:sz w:val="40"/>
          <w:szCs w:val="40"/>
          <w:lang w:eastAsia="zh-CN"/>
        </w:rPr>
        <w:t>金智维</w:t>
      </w:r>
    </w:p>
    <w:p w14:paraId="570FDFA3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7.1  公司简介</w:t>
      </w:r>
    </w:p>
    <w:p w14:paraId="4AB9209A">
      <w:pPr>
        <w:spacing w:before="80" w:after="80" w:line="340" w:lineRule="auto"/>
        <w:jc w:val="both"/>
      </w:pPr>
      <w:r>
        <w:rPr>
          <w:rFonts w:hint="eastAsia" w:cs="宋体"/>
          <w:b w:val="0"/>
          <w:bCs w:val="0"/>
          <w:i w:val="0"/>
          <w:iCs w:val="0"/>
          <w:color w:val="000000"/>
          <w:sz w:val="21"/>
          <w:szCs w:val="21"/>
          <w:lang w:eastAsia="zh-CN"/>
        </w:rPr>
        <w:t>金智维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(</w:t>
      </w:r>
      <w:r>
        <w:rPr>
          <w:rFonts w:hint="eastAsia" w:cs="宋体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Kingsware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)是中国领先的企业级 AI Agent 平台公司,致力于通过自主研发的</w:t>
      </w:r>
      <w:r>
        <w:rPr>
          <w:rFonts w:hint="eastAsia" w:cs="宋体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Ai原生智慧运营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方法论和 K</w:t>
      </w:r>
      <w:r>
        <w:rPr>
          <w:rFonts w:hint="eastAsia" w:cs="宋体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i-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AgentS 智能体平台,帮助大型企业(尤其是金融机构)实现业务流程的智能化转型。</w:t>
      </w:r>
    </w:p>
    <w:p w14:paraId="05A24809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公司成立于 2015 年,总部位于珠海,在北京、上海、深圳、广州、杭州设有分公司。公司客户主要为银行、证券、保险、政府等行业的头部机构,服务包括 6 大国有银行、12 家全国性股份制银行、超过 50 家城商行 / 农商行、20 余家政府部门。</w:t>
      </w:r>
    </w:p>
    <w:p w14:paraId="7C363622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2024 年,公司启动香港上市进程,品牌定位为'金智维 / Kingsware',致力于打造中国 AI Agent 的旗舰品牌。</w:t>
      </w:r>
    </w:p>
    <w:p w14:paraId="3446332C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7.2  核心运营数据</w:t>
      </w:r>
    </w:p>
    <w:p w14:paraId="63F1B203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截至 2026 年 Q1,</w:t>
      </w:r>
      <w:r>
        <w:rPr>
          <w:rFonts w:hint="eastAsia" w:cs="宋体"/>
          <w:b w:val="0"/>
          <w:bCs w:val="0"/>
          <w:i w:val="0"/>
          <w:iCs w:val="0"/>
          <w:color w:val="000000"/>
          <w:sz w:val="21"/>
          <w:szCs w:val="21"/>
          <w:lang w:eastAsia="zh-CN"/>
        </w:rPr>
        <w:t>金智维</w:t>
      </w: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在金融业的核心运营数据如下: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9"/>
        <w:gridCol w:w="2409"/>
        <w:gridCol w:w="2410"/>
        <w:gridCol w:w="2410"/>
      </w:tblGrid>
      <w:tr w14:paraId="5B868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9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200" w:type="dxa"/>
              <w:left w:w="160" w:type="dxa"/>
              <w:bottom w:w="200" w:type="dxa"/>
              <w:right w:w="160" w:type="dxa"/>
            </w:tcMar>
            <w:vAlign w:val="top"/>
          </w:tcPr>
          <w:p w14:paraId="7CC33451">
            <w:pPr>
              <w:spacing w:before="0" w:after="8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1F3A5F"/>
                <w:sz w:val="20"/>
                <w:szCs w:val="20"/>
              </w:rPr>
              <w:t>服务银行</w:t>
            </w:r>
          </w:p>
          <w:p w14:paraId="5F1D90A6">
            <w:pPr>
              <w:spacing w:before="0" w:after="8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A99D"/>
                <w:sz w:val="32"/>
                <w:szCs w:val="32"/>
              </w:rPr>
              <w:t>70+</w:t>
            </w:r>
          </w:p>
          <w:p w14:paraId="37AC53BD">
            <w:pPr>
              <w:spacing w:before="0" w:after="0" w:line="34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5A6373"/>
                <w:sz w:val="17"/>
                <w:szCs w:val="17"/>
              </w:rPr>
              <w:t>国有/股份制/城商/农商</w:t>
            </w:r>
          </w:p>
        </w:tc>
        <w:tc>
          <w:tcPr>
            <w:tcW w:w="2409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200" w:type="dxa"/>
              <w:left w:w="160" w:type="dxa"/>
              <w:bottom w:w="200" w:type="dxa"/>
              <w:right w:w="160" w:type="dxa"/>
            </w:tcMar>
            <w:vAlign w:val="top"/>
          </w:tcPr>
          <w:p w14:paraId="4B8DE812">
            <w:pPr>
              <w:spacing w:before="0" w:after="8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1F3A5F"/>
                <w:sz w:val="20"/>
                <w:szCs w:val="20"/>
              </w:rPr>
              <w:t>Agent部署</w:t>
            </w:r>
          </w:p>
          <w:p w14:paraId="26CC0F5B">
            <w:pPr>
              <w:spacing w:before="0" w:after="8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27AE60"/>
                <w:sz w:val="32"/>
                <w:szCs w:val="32"/>
              </w:rPr>
              <w:t>2,000+</w:t>
            </w:r>
          </w:p>
          <w:p w14:paraId="1572B1B2">
            <w:pPr>
              <w:spacing w:before="0" w:after="0" w:line="34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5A6373"/>
                <w:sz w:val="17"/>
                <w:szCs w:val="17"/>
              </w:rPr>
              <w:t>全行业累计部署Agent数</w:t>
            </w:r>
          </w:p>
        </w:tc>
        <w:tc>
          <w:tcPr>
            <w:tcW w:w="2409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200" w:type="dxa"/>
              <w:left w:w="160" w:type="dxa"/>
              <w:bottom w:w="200" w:type="dxa"/>
              <w:right w:w="160" w:type="dxa"/>
            </w:tcMar>
            <w:vAlign w:val="top"/>
          </w:tcPr>
          <w:p w14:paraId="463A6622">
            <w:pPr>
              <w:spacing w:before="0" w:after="8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1F3A5F"/>
                <w:sz w:val="20"/>
                <w:szCs w:val="20"/>
              </w:rPr>
              <w:t>处理客户</w:t>
            </w:r>
          </w:p>
          <w:p w14:paraId="0F9A3378">
            <w:pPr>
              <w:spacing w:before="0" w:after="8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E8843C"/>
                <w:sz w:val="32"/>
                <w:szCs w:val="32"/>
              </w:rPr>
              <w:t>100万+</w:t>
            </w:r>
          </w:p>
          <w:p w14:paraId="44C78585">
            <w:pPr>
              <w:spacing w:before="0" w:after="0" w:line="34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5A6373"/>
                <w:sz w:val="17"/>
                <w:szCs w:val="17"/>
              </w:rPr>
              <w:t>累计完成的尽调报告数</w:t>
            </w:r>
          </w:p>
        </w:tc>
        <w:tc>
          <w:tcPr>
            <w:tcW w:w="2409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200" w:type="dxa"/>
              <w:left w:w="160" w:type="dxa"/>
              <w:bottom w:w="200" w:type="dxa"/>
              <w:right w:w="160" w:type="dxa"/>
            </w:tcMar>
            <w:vAlign w:val="top"/>
          </w:tcPr>
          <w:p w14:paraId="13BB9D1B">
            <w:pPr>
              <w:spacing w:before="0" w:after="8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1F3A5F"/>
                <w:sz w:val="20"/>
                <w:szCs w:val="20"/>
              </w:rPr>
              <w:t>服务收入</w:t>
            </w:r>
          </w:p>
          <w:p w14:paraId="2AA7A8E7">
            <w:pPr>
              <w:spacing w:before="0" w:after="80" w:line="3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A99D"/>
                <w:sz w:val="32"/>
                <w:szCs w:val="32"/>
              </w:rPr>
              <w:t>20亿+</w:t>
            </w:r>
          </w:p>
          <w:p w14:paraId="1A311258">
            <w:pPr>
              <w:spacing w:before="0" w:after="0" w:line="340" w:lineRule="auto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5A6373"/>
                <w:sz w:val="17"/>
                <w:szCs w:val="17"/>
              </w:rPr>
              <w:t>累计金融业服务收入(元)</w:t>
            </w:r>
          </w:p>
        </w:tc>
      </w:tr>
    </w:tbl>
    <w:p w14:paraId="2095B08A"/>
    <w:p w14:paraId="4A8CE465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7.3  资质荣誉</w:t>
      </w:r>
    </w:p>
    <w:p w14:paraId="54C4FC4D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• 高新技术企业认证</w:t>
      </w:r>
    </w:p>
    <w:p w14:paraId="732BC753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• 国家发改委'数据要素 × 金融服务'示范案例</w:t>
      </w:r>
    </w:p>
    <w:p w14:paraId="01B3F715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• 中国信通院 AI Agent 平台权威评测最高级别(L4)</w:t>
      </w:r>
    </w:p>
    <w:p w14:paraId="1211AEE5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• 国密局商用密码产品认证</w:t>
      </w:r>
    </w:p>
    <w:p w14:paraId="5C4AD5E7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• 等保 2.0 三级认证</w:t>
      </w:r>
    </w:p>
    <w:p w14:paraId="71A588C0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• ISO 27001 信息安全管理体系认证</w:t>
      </w:r>
    </w:p>
    <w:p w14:paraId="1F5A3682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• ISO 9001 质量管理体系认证</w:t>
      </w:r>
    </w:p>
    <w:p w14:paraId="3F5E4522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• 入选《福布斯中国》'最具创新力 AI 公司 50 强'</w:t>
      </w:r>
    </w:p>
    <w:p w14:paraId="7AD0824F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• 入选《亿欧》'金融科技产品力 30 强'</w:t>
      </w:r>
    </w:p>
    <w:p w14:paraId="4439A464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7.4  核心团队</w:t>
      </w:r>
    </w:p>
    <w:p w14:paraId="4BEB1C1E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公司创始团队来自国有大行总行、头部咨询公司、互联网大厂 AI 实验室,平均行业经验超过 15 年。技术团队中,博士占比 12%,硕士占比 45%,核心算法团队来自清华、北大、中科院、CMU 等国内外顶级院校。</w:t>
      </w:r>
    </w:p>
    <w:p w14:paraId="2D76369D">
      <w:pPr>
        <w:spacing w:before="80" w:after="80" w:line="340" w:lineRule="auto"/>
        <w:jc w:val="both"/>
      </w:pPr>
      <w:r>
        <w:rPr>
          <w:rFonts w:ascii="宋体" w:hAnsi="宋体" w:eastAsia="宋体" w:cs="宋体"/>
          <w:b w:val="0"/>
          <w:bCs w:val="0"/>
          <w:i w:val="0"/>
          <w:iCs w:val="0"/>
          <w:color w:val="000000"/>
          <w:sz w:val="21"/>
          <w:szCs w:val="21"/>
        </w:rPr>
        <w:t>截至 2026 年 Q1,公司全职员工超过 800 人,其中研发人员占比 60% 以上。</w:t>
      </w:r>
    </w:p>
    <w:p w14:paraId="6438B9BC">
      <w:pPr>
        <w:pStyle w:val="4"/>
        <w:spacing w:before="280" w:after="140"/>
      </w:pPr>
      <w:r>
        <w:rPr>
          <w:rFonts w:ascii="黑体" w:hAnsi="黑体" w:eastAsia="黑体" w:cs="黑体"/>
          <w:b/>
          <w:bCs/>
          <w:color w:val="2E75B6"/>
          <w:sz w:val="26"/>
          <w:szCs w:val="26"/>
        </w:rPr>
        <w:t>核心高管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238"/>
      </w:tblGrid>
      <w:tr w14:paraId="4C221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F5B585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职务</w:t>
            </w:r>
          </w:p>
        </w:tc>
        <w:tc>
          <w:tcPr>
            <w:tcW w:w="7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78F58A">
            <w:pPr>
              <w:spacing w:before="40" w:after="4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0"/>
                <w:szCs w:val="20"/>
              </w:rPr>
              <w:t>履历背景</w:t>
            </w:r>
          </w:p>
        </w:tc>
      </w:tr>
      <w:tr w14:paraId="2B416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59B65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创始人 / CEO</w:t>
            </w:r>
          </w:p>
        </w:tc>
        <w:tc>
          <w:tcPr>
            <w:tcW w:w="7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5AB53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前国有大行总行核心业务负责人,15+ 年金融科技经验</w:t>
            </w:r>
          </w:p>
        </w:tc>
      </w:tr>
      <w:tr w14:paraId="67862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E00605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CTO</w:t>
            </w:r>
          </w:p>
        </w:tc>
        <w:tc>
          <w:tcPr>
            <w:tcW w:w="7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31D76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前互联网大厂 AI 实验室技术总监,大模型与 Agent 领域专家</w:t>
            </w:r>
          </w:p>
        </w:tc>
      </w:tr>
      <w:tr w14:paraId="0FE40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91B2A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首席风控官</w:t>
            </w:r>
          </w:p>
        </w:tc>
        <w:tc>
          <w:tcPr>
            <w:tcW w:w="7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1B255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前股份制银行风险管理部总经理,银行业风险管理资深专家</w:t>
            </w:r>
          </w:p>
        </w:tc>
      </w:tr>
      <w:tr w14:paraId="0BD81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27B01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首席合规官</w:t>
            </w:r>
          </w:p>
        </w:tc>
        <w:tc>
          <w:tcPr>
            <w:tcW w:w="7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61F7E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前监管机构金融科技专家,熟悉国内外金融科技合规要求</w:t>
            </w:r>
          </w:p>
        </w:tc>
      </w:tr>
    </w:tbl>
    <w:p w14:paraId="36A17714">
      <w:pPr>
        <w:pStyle w:val="3"/>
        <w:spacing w:before="360" w:after="180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7.5  联系我们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238"/>
      </w:tblGrid>
      <w:tr w14:paraId="7294A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A80E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公司名称</w:t>
            </w:r>
          </w:p>
        </w:tc>
        <w:tc>
          <w:tcPr>
            <w:tcW w:w="7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24CA7B">
            <w:pPr>
              <w:spacing w:before="40" w:after="40" w:line="280" w:lineRule="auto"/>
              <w:jc w:val="left"/>
            </w:pPr>
            <w:r>
              <w:rPr>
                <w:rFonts w:hint="eastAsia" w:cs="宋体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珠海</w:t>
            </w:r>
            <w:r>
              <w:rPr>
                <w:rFonts w:hint="eastAsia" w:cs="宋体"/>
                <w:b w:val="0"/>
                <w:bCs w:val="0"/>
                <w:color w:val="000000"/>
                <w:sz w:val="20"/>
                <w:szCs w:val="20"/>
                <w:lang w:eastAsia="zh-CN"/>
              </w:rPr>
              <w:t>金智维</w:t>
            </w:r>
            <w:r>
              <w:rPr>
                <w:rFonts w:hint="eastAsia" w:cs="宋体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人工智能股份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有限公司</w:t>
            </w:r>
          </w:p>
        </w:tc>
      </w:tr>
      <w:tr w14:paraId="1F921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E12588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品牌</w:t>
            </w:r>
          </w:p>
        </w:tc>
        <w:tc>
          <w:tcPr>
            <w:tcW w:w="7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D8A6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金智维 / Kingsware</w:t>
            </w:r>
          </w:p>
        </w:tc>
      </w:tr>
      <w:tr w14:paraId="55508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E926C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总部地址</w:t>
            </w:r>
          </w:p>
        </w:tc>
        <w:tc>
          <w:tcPr>
            <w:tcW w:w="7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E8C516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广东省珠海市</w:t>
            </w:r>
          </w:p>
        </w:tc>
      </w:tr>
      <w:tr w14:paraId="1B178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B9A0B3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官方网站</w:t>
            </w:r>
          </w:p>
        </w:tc>
        <w:tc>
          <w:tcPr>
            <w:tcW w:w="7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F62D3A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www.kingsware.cn</w:t>
            </w:r>
          </w:p>
        </w:tc>
      </w:tr>
      <w:tr w14:paraId="46046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9A2ABE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商务咨询</w:t>
            </w:r>
          </w:p>
        </w:tc>
        <w:tc>
          <w:tcPr>
            <w:tcW w:w="7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E06724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bd@kingsware.cn</w:t>
            </w:r>
          </w:p>
        </w:tc>
      </w:tr>
      <w:tr w14:paraId="158A3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13499B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技术咨询</w:t>
            </w:r>
          </w:p>
        </w:tc>
        <w:tc>
          <w:tcPr>
            <w:tcW w:w="7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641399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tech@kingsware.cn</w:t>
            </w:r>
          </w:p>
        </w:tc>
      </w:tr>
      <w:tr w14:paraId="6267C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560E0">
            <w:pPr>
              <w:spacing w:before="40" w:after="40" w:line="28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销售热线</w:t>
            </w:r>
          </w:p>
        </w:tc>
        <w:tc>
          <w:tcPr>
            <w:tcW w:w="7238" w:type="dxa"/>
            <w:tcBorders>
              <w:top w:val="single" w:color="D5D9E0" w:sz="4" w:space="0"/>
              <w:left w:val="single" w:color="D5D9E0" w:sz="4" w:space="0"/>
              <w:bottom w:val="single" w:color="D5D9E0" w:sz="4" w:space="0"/>
              <w:right w:val="single" w:color="D5D9E0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92DFF5">
            <w:pPr>
              <w:spacing w:before="40" w:after="40" w:line="280" w:lineRule="auto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0756 333 7989</w:t>
            </w:r>
          </w:p>
        </w:tc>
      </w:tr>
    </w:tbl>
    <w:p w14:paraId="78AB7D53">
      <w:r>
        <w:br w:type="page"/>
      </w:r>
    </w:p>
    <w:p w14:paraId="5DB2A17A"/>
    <w:p w14:paraId="6E286C96"/>
    <w:p w14:paraId="0E28E706"/>
    <w:p w14:paraId="107C126C">
      <w:pPr>
        <w:spacing w:before="480" w:after="240"/>
        <w:jc w:val="center"/>
      </w:pPr>
      <w:r>
        <w:rPr>
          <w:rFonts w:ascii="Arial" w:hAnsi="Arial" w:eastAsia="Arial" w:cs="Arial"/>
          <w:color w:val="00A99D"/>
          <w:sz w:val="16"/>
          <w:szCs w:val="16"/>
        </w:rPr>
        <w:t>━━━━━━━━━━━━━━━━━━━━━━</w:t>
      </w:r>
    </w:p>
    <w:p w14:paraId="6A4C9986">
      <w:pPr>
        <w:spacing w:before="240" w:after="240"/>
        <w:jc w:val="center"/>
      </w:pPr>
      <w:r>
        <w:rPr>
          <w:rFonts w:ascii="黑体" w:hAnsi="黑体" w:eastAsia="黑体" w:cs="黑体"/>
          <w:b/>
          <w:bCs/>
          <w:color w:val="1F3A5F"/>
          <w:sz w:val="30"/>
          <w:szCs w:val="30"/>
        </w:rPr>
        <w:t>数据驱动普惠金融</w:t>
      </w:r>
    </w:p>
    <w:p w14:paraId="017D48EA">
      <w:pPr>
        <w:spacing w:before="60" w:after="240"/>
        <w:jc w:val="center"/>
      </w:pPr>
      <w:r>
        <w:rPr>
          <w:rFonts w:ascii="黑体" w:hAnsi="黑体" w:eastAsia="黑体" w:cs="黑体"/>
          <w:color w:val="5A6373"/>
          <w:sz w:val="24"/>
          <w:szCs w:val="24"/>
        </w:rPr>
        <w:t>AI Agent 重塑信贷价值链</w:t>
      </w:r>
    </w:p>
    <w:p w14:paraId="5ED98A2C">
      <w:pPr>
        <w:spacing w:before="240" w:after="60"/>
        <w:jc w:val="center"/>
      </w:pPr>
      <w:r>
        <w:rPr>
          <w:rFonts w:ascii="Arial" w:hAnsi="Arial" w:eastAsia="Arial" w:cs="Arial"/>
          <w:color w:val="00A99D"/>
          <w:sz w:val="16"/>
          <w:szCs w:val="16"/>
        </w:rPr>
        <w:t>━━━━━━━━━━━━━━━━━━━━━━</w:t>
      </w:r>
    </w:p>
    <w:p w14:paraId="5769005E"/>
    <w:p w14:paraId="32DCF95A"/>
    <w:p w14:paraId="3B448F28">
      <w:pPr>
        <w:spacing w:before="480" w:after="60"/>
        <w:jc w:val="center"/>
      </w:pPr>
      <w:r>
        <w:rPr>
          <w:rFonts w:hint="eastAsia" w:ascii="黑体" w:hAnsi="黑体" w:eastAsia="黑体" w:cs="黑体"/>
          <w:color w:val="2E75B6"/>
          <w:sz w:val="22"/>
          <w:szCs w:val="22"/>
          <w:lang w:eastAsia="zh-CN"/>
        </w:rPr>
        <w:t>金智维</w:t>
      </w:r>
      <w:r>
        <w:rPr>
          <w:rFonts w:ascii="黑体" w:hAnsi="黑体" w:eastAsia="黑体" w:cs="黑体"/>
          <w:color w:val="2E75B6"/>
          <w:sz w:val="22"/>
          <w:szCs w:val="22"/>
        </w:rPr>
        <w:t xml:space="preserve"> </w:t>
      </w:r>
    </w:p>
    <w:p w14:paraId="31C9DBF5">
      <w:pPr>
        <w:spacing w:before="60" w:after="60"/>
        <w:jc w:val="center"/>
      </w:pPr>
      <w:r>
        <w:rPr>
          <w:rFonts w:ascii="宋体" w:hAnsi="宋体" w:eastAsia="宋体" w:cs="宋体"/>
          <w:color w:val="5A6373"/>
          <w:sz w:val="18"/>
          <w:szCs w:val="18"/>
        </w:rPr>
        <w:t>智慧信贷智能体平台 产品白皮书 v1.0</w:t>
      </w:r>
    </w:p>
    <w:p w14:paraId="5F0D8AA7">
      <w:pPr>
        <w:spacing w:before="60" w:after="60"/>
        <w:jc w:val="center"/>
      </w:pPr>
      <w:r>
        <w:rPr>
          <w:rFonts w:ascii="宋体" w:hAnsi="宋体" w:eastAsia="宋体" w:cs="宋体"/>
          <w:i/>
          <w:iCs/>
          <w:color w:val="8B95A3"/>
          <w:sz w:val="16"/>
          <w:szCs w:val="16"/>
        </w:rPr>
        <w:t xml:space="preserve">© 2026 </w:t>
      </w:r>
      <w:r>
        <w:rPr>
          <w:rFonts w:hint="eastAsia" w:cs="宋体"/>
          <w:i/>
          <w:iCs/>
          <w:color w:val="8B95A3"/>
          <w:sz w:val="16"/>
          <w:szCs w:val="16"/>
          <w:lang w:val="en-US" w:eastAsia="zh-CN"/>
        </w:rPr>
        <w:t>珠海</w:t>
      </w:r>
      <w:r>
        <w:rPr>
          <w:rFonts w:hint="eastAsia" w:cs="宋体"/>
          <w:i/>
          <w:iCs/>
          <w:color w:val="8B95A3"/>
          <w:sz w:val="16"/>
          <w:szCs w:val="16"/>
          <w:lang w:eastAsia="zh-CN"/>
        </w:rPr>
        <w:t>金智维</w:t>
      </w:r>
      <w:r>
        <w:rPr>
          <w:rFonts w:hint="eastAsia" w:cs="宋体"/>
          <w:i/>
          <w:iCs/>
          <w:color w:val="8B95A3"/>
          <w:sz w:val="16"/>
          <w:szCs w:val="16"/>
          <w:lang w:val="en-US" w:eastAsia="zh-CN"/>
        </w:rPr>
        <w:t>人工智能股份</w:t>
      </w:r>
      <w:r>
        <w:rPr>
          <w:rFonts w:ascii="宋体" w:hAnsi="宋体" w:eastAsia="宋体" w:cs="宋体"/>
          <w:i/>
          <w:iCs/>
          <w:color w:val="8B95A3"/>
          <w:sz w:val="16"/>
          <w:szCs w:val="16"/>
        </w:rPr>
        <w:t>有限公司  保留所有权利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B51131">
    <w:pPr>
      <w:jc w:val="center"/>
    </w:pPr>
    <w:r>
      <w:rPr>
        <w:rFonts w:ascii="宋体" w:hAnsi="宋体" w:eastAsia="宋体" w:cs="宋体"/>
        <w:color w:val="5A6373"/>
        <w:sz w:val="18"/>
        <w:szCs w:val="18"/>
      </w:rPr>
      <w:t xml:space="preserve">Inside AI · Kingsware  |  </w:t>
    </w:r>
    <w:r>
      <w:rPr>
        <w:rFonts w:ascii="宋体" w:hAnsi="宋体" w:eastAsia="宋体" w:cs="宋体"/>
        <w:color w:val="5A6373"/>
        <w:sz w:val="18"/>
        <w:szCs w:val="18"/>
      </w:rPr>
      <w:fldChar w:fldCharType="begin"/>
    </w:r>
    <w:r>
      <w:rPr>
        <w:rFonts w:ascii="宋体" w:hAnsi="宋体" w:eastAsia="宋体" w:cs="宋体"/>
        <w:color w:val="5A6373"/>
        <w:sz w:val="18"/>
        <w:szCs w:val="18"/>
      </w:rPr>
      <w:instrText xml:space="preserve">PAGE</w:instrText>
    </w:r>
    <w:r>
      <w:rPr>
        <w:rFonts w:ascii="宋体" w:hAnsi="宋体" w:eastAsia="宋体" w:cs="宋体"/>
        <w:color w:val="5A6373"/>
        <w:sz w:val="18"/>
        <w:szCs w:val="18"/>
      </w:rPr>
      <w:fldChar w:fldCharType="separate"/>
    </w:r>
    <w:r>
      <w:rPr>
        <w:rFonts w:ascii="宋体" w:hAnsi="宋体" w:eastAsia="宋体" w:cs="宋体"/>
        <w:color w:val="5A6373"/>
        <w:sz w:val="18"/>
        <w:szCs w:val="18"/>
      </w:rPr>
      <w:fldChar w:fldCharType="end"/>
    </w:r>
    <w:r>
      <w:rPr>
        <w:rFonts w:ascii="宋体" w:hAnsi="宋体" w:eastAsia="宋体" w:cs="宋体"/>
        <w:color w:val="5A6373"/>
        <w:sz w:val="18"/>
        <w:szCs w:val="18"/>
      </w:rPr>
      <w:t xml:space="preserve"> / </w:t>
    </w:r>
    <w:r>
      <w:rPr>
        <w:rFonts w:ascii="宋体" w:hAnsi="宋体" w:eastAsia="宋体" w:cs="宋体"/>
        <w:color w:val="5A6373"/>
        <w:sz w:val="18"/>
        <w:szCs w:val="18"/>
      </w:rPr>
      <w:fldChar w:fldCharType="begin"/>
    </w:r>
    <w:r>
      <w:rPr>
        <w:rFonts w:ascii="宋体" w:hAnsi="宋体" w:eastAsia="宋体" w:cs="宋体"/>
        <w:color w:val="5A6373"/>
        <w:sz w:val="18"/>
        <w:szCs w:val="18"/>
      </w:rPr>
      <w:instrText xml:space="preserve">NUMPAGES</w:instrText>
    </w:r>
    <w:r>
      <w:rPr>
        <w:rFonts w:ascii="宋体" w:hAnsi="宋体" w:eastAsia="宋体" w:cs="宋体"/>
        <w:color w:val="5A6373"/>
        <w:sz w:val="18"/>
        <w:szCs w:val="18"/>
      </w:rPr>
      <w:fldChar w:fldCharType="separate"/>
    </w:r>
    <w:r>
      <w:rPr>
        <w:rFonts w:ascii="宋体" w:hAnsi="宋体" w:eastAsia="宋体" w:cs="宋体"/>
        <w:color w:val="5A6373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4C006">
    <w:pPr>
      <w:pBdr>
        <w:bottom w:val="single" w:color="00A99D" w:sz="6" w:space="1"/>
      </w:pBdr>
      <w:jc w:val="right"/>
    </w:pPr>
    <w:r>
      <w:rPr>
        <w:rFonts w:hint="eastAsia" w:cs="宋体"/>
        <w:i/>
        <w:iCs/>
        <w:color w:val="5A6373"/>
        <w:sz w:val="18"/>
        <w:szCs w:val="18"/>
        <w:lang w:eastAsia="zh-CN"/>
      </w:rPr>
      <w:t>金智维</w:t>
    </w:r>
    <w:r>
      <w:rPr>
        <w:rFonts w:ascii="宋体" w:hAnsi="宋体" w:eastAsia="宋体" w:cs="宋体"/>
        <w:i/>
        <w:iCs/>
        <w:color w:val="5A6373"/>
        <w:sz w:val="18"/>
        <w:szCs w:val="18"/>
      </w:rPr>
      <w:t xml:space="preserve"> · 智慧信贷智能体平台 产品白皮书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F2804EA"/>
    <w:rsid w:val="4DB43AE4"/>
    <w:rsid w:val="577A2771"/>
    <w:rsid w:val="58B96E26"/>
    <w:rsid w:val="66D717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1"/>
      <w:szCs w:val="21"/>
    </w:rPr>
  </w:style>
  <w:style w:type="paragraph" w:styleId="2">
    <w:name w:val="heading 1"/>
    <w:next w:val="1"/>
    <w:qFormat/>
    <w:uiPriority w:val="0"/>
    <w:pPr>
      <w:spacing w:before="480" w:after="240"/>
      <w:outlineLvl w:val="0"/>
    </w:pPr>
    <w:rPr>
      <w:rFonts w:ascii="黑体" w:hAnsi="黑体" w:eastAsia="黑体" w:cs="黑体"/>
      <w:b/>
      <w:bCs/>
      <w:color w:val="1F3A5F"/>
      <w:sz w:val="40"/>
      <w:szCs w:val="40"/>
    </w:rPr>
  </w:style>
  <w:style w:type="paragraph" w:styleId="3">
    <w:name w:val="heading 2"/>
    <w:next w:val="1"/>
    <w:qFormat/>
    <w:uiPriority w:val="0"/>
    <w:pPr>
      <w:spacing w:before="360" w:after="180"/>
      <w:outlineLvl w:val="1"/>
    </w:pPr>
    <w:rPr>
      <w:rFonts w:ascii="黑体" w:hAnsi="黑体" w:eastAsia="黑体" w:cs="黑体"/>
      <w:b/>
      <w:bCs/>
      <w:color w:val="1F3A5F"/>
      <w:sz w:val="30"/>
      <w:szCs w:val="30"/>
    </w:rPr>
  </w:style>
  <w:style w:type="paragraph" w:styleId="4">
    <w:name w:val="heading 3"/>
    <w:next w:val="1"/>
    <w:qFormat/>
    <w:uiPriority w:val="0"/>
    <w:pPr>
      <w:spacing w:before="280" w:after="140"/>
      <w:outlineLvl w:val="2"/>
    </w:pPr>
    <w:rPr>
      <w:rFonts w:ascii="黑体" w:hAnsi="黑体" w:eastAsia="黑体" w:cs="黑体"/>
      <w:b/>
      <w:bCs/>
      <w:color w:val="2E75B6"/>
      <w:sz w:val="26"/>
      <w:szCs w:val="26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40</Pages>
  <Words>1946</Words>
  <Characters>2258</Characters>
  <TotalTime>27</TotalTime>
  <ScaleCrop>false</ScaleCrop>
  <LinksUpToDate>false</LinksUpToDate>
  <CharactersWithSpaces>2460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2026-04-26T12:01:00Z</dcterms:created>
  <dc:creator>斯达菲 Inside AI</dc:creator>
  <dc:description>面向银行业的小微/个体户/普惠信贷一体化解决方案</dc:description>
  <cp:lastModifiedBy>a</cp:lastModifiedBy>
  <dcterms:modified xsi:type="dcterms:W3CDTF">2026-04-28T22:32:00Z</dcterms:modified>
  <dc:title>智慧信贷智能体平台 - 产品白皮书 v1.0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eyJoZGlkIjoiYjQ3M2VkOThhZWI3ZGE1YWFjN2ZmY2FmODYxODYxNTYiLCJ1c2VySWQiOiI0NDA3Nzk0ODYifQ==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2BC34D2B016D4595A451459B701A1977_13</vt:lpwstr>
  </property>
</Properties>
</file>