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ENDES</w:t>
      </w:r>
      <w:r>
        <w:t xml:space="preserve"> </w:t>
      </w:r>
      <w:r>
        <w:t xml:space="preserve">2017</w:t>
      </w:r>
      <w:r>
        <w:t xml:space="preserve"> </w:t>
      </w:r>
      <w:r>
        <w:t xml:space="preserve">en</w:t>
      </w:r>
      <w:r>
        <w:t xml:space="preserve"> </w:t>
      </w:r>
      <w:r>
        <w:t xml:space="preserve">R:</w:t>
      </w:r>
      <w:r>
        <w:t xml:space="preserve"> </w:t>
      </w:r>
      <w:r>
        <w:t xml:space="preserve">análisis</w:t>
      </w:r>
      <w:r>
        <w:t xml:space="preserve"> </w:t>
      </w:r>
      <w:r>
        <w:t xml:space="preserve">de</w:t>
      </w:r>
      <w:r>
        <w:t xml:space="preserve"> </w:t>
      </w:r>
      <w:r>
        <w:t xml:space="preserve">salud</w:t>
      </w:r>
      <w:r>
        <w:t xml:space="preserve"> </w:t>
      </w:r>
      <w:r>
        <w:t xml:space="preserve">cardiovascular</w:t>
      </w:r>
      <w:r>
        <w:t xml:space="preserve"> </w:t>
      </w:r>
      <w:r>
        <w:t xml:space="preserve">ideal</w:t>
      </w:r>
    </w:p>
    <w:p>
      <w:pPr>
        <w:pStyle w:val="Author"/>
      </w:pPr>
      <w:r>
        <w:t xml:space="preserve">Akram</w:t>
      </w:r>
      <w:r>
        <w:t xml:space="preserve"> </w:t>
      </w:r>
      <w:r>
        <w:t xml:space="preserve">Hernández,</w:t>
      </w:r>
      <w:r>
        <w:t xml:space="preserve"> </w:t>
      </w:r>
      <w:r>
        <w:t xml:space="preserve">Horacio</w:t>
      </w:r>
      <w:r>
        <w:t xml:space="preserve"> </w:t>
      </w:r>
      <w:r>
        <w:t xml:space="preserve">Chacón</w:t>
      </w:r>
    </w:p>
    <w:p>
      <w:pPr>
        <w:pStyle w:val="Date"/>
      </w:pPr>
      <w:r>
        <w:t xml:space="preserve">14</w:t>
      </w:r>
      <w:r>
        <w:t xml:space="preserve"> </w:t>
      </w:r>
      <w:r>
        <w:t xml:space="preserve">de</w:t>
      </w:r>
      <w:r>
        <w:t xml:space="preserve"> </w:t>
      </w:r>
      <w:r>
        <w:t xml:space="preserve">septiembre</w:t>
      </w:r>
      <w:r>
        <w:t xml:space="preserve"> </w:t>
      </w:r>
      <w:r>
        <w:t xml:space="preserve">de</w:t>
      </w:r>
      <w:r>
        <w:t xml:space="preserve"> </w:t>
      </w:r>
      <w:r>
        <w:t xml:space="preserve">2018</w:t>
      </w:r>
    </w:p>
    <w:p>
      <w:pPr>
        <w:pStyle w:val="Heading1"/>
      </w:pPr>
      <w:bookmarkStart w:id="21" w:name="descripcion"/>
      <w:bookmarkEnd w:id="21"/>
      <w:r>
        <w:t xml:space="preserve">Descripción</w:t>
      </w:r>
    </w:p>
    <w:p>
      <w:pPr>
        <w:pStyle w:val="FirstParagraph"/>
      </w:pPr>
      <w:r>
        <w:t xml:space="preserve">Este es un ejemplo de extracción, unión y análisis de datos de la</w:t>
      </w:r>
      <w:r>
        <w:t xml:space="preserve"> </w:t>
      </w:r>
      <w:r>
        <w:rPr>
          <w:b/>
        </w:rPr>
        <w:t xml:space="preserve">Encuesta Demográfica de Salud Familiar (ENDES)</w:t>
      </w:r>
      <w:r>
        <w:t xml:space="preserve"> </w:t>
      </w:r>
      <w:r>
        <w:t xml:space="preserve">para el uso particular del cálculo de los indicadores ideales de salud cardiovascular definidos por la</w:t>
      </w:r>
      <w:r>
        <w:t xml:space="preserve"> </w:t>
      </w:r>
      <w:r>
        <w:rPr>
          <w:b/>
        </w:rPr>
        <w:t xml:space="preserve">American heart Association (AHA)</w:t>
      </w:r>
      <w:r>
        <w:t xml:space="preserve"> </w:t>
      </w:r>
      <w:r>
        <w:t xml:space="preserve">[</w:t>
      </w:r>
      <w:hyperlink w:anchor="ref-RN1">
        <w:r>
          <w:rPr>
            <w:rStyle w:val="Hyperlink"/>
          </w:rPr>
          <w:t xml:space="preserve">1</w:t>
        </w:r>
      </w:hyperlink>
      <w:r>
        <w:t xml:space="preserve">]</w:t>
      </w:r>
      <w:r>
        <w:t xml:space="preserve">.</w:t>
      </w:r>
    </w:p>
    <w:p>
      <w:pPr>
        <w:pStyle w:val="BodyText"/>
      </w:pPr>
      <w:r>
        <w:t xml:space="preserve">Para poder calcular el estado cardiovascular de la población peruana, utilizamos estos indicadores, de los cuales pueden encontrarse en la ENDES:</w:t>
      </w:r>
      <w:r>
        <w:t xml:space="preserve"> </w:t>
      </w:r>
      <w:r>
        <w:rPr>
          <w:i/>
        </w:rPr>
        <w:t xml:space="preserve">Presión Arterial, Dieta saludable, IMC, Tabaquismo y Diabetes</w:t>
      </w:r>
      <w:r>
        <w:t xml:space="preserve">.</w:t>
      </w:r>
    </w:p>
    <w:p>
      <w:pPr>
        <w:pStyle w:val="Heading2"/>
      </w:pPr>
      <w:bookmarkStart w:id="22" w:name="librerias"/>
      <w:bookmarkEnd w:id="22"/>
      <w:r>
        <w:t xml:space="preserve">1. Librerías</w:t>
      </w:r>
    </w:p>
    <w:p>
      <w:pPr>
        <w:pStyle w:val="FirstParagraph"/>
      </w:pPr>
      <w:r>
        <w:t xml:space="preserve">Cargamos las librerías necesarias para el análisis. El uso de estos paquetes permite ejecutar funciones específicas que no vienen por defecto en los comandos base de R.</w:t>
      </w:r>
    </w:p>
    <w:p>
      <w:pPr>
        <w:pStyle w:val="SourceCode"/>
      </w:pPr>
      <w:r>
        <w:rPr>
          <w:rStyle w:val="KeywordTok"/>
        </w:rPr>
        <w:t xml:space="preserve">library</w:t>
      </w:r>
      <w:r>
        <w:rPr>
          <w:rStyle w:val="NormalTok"/>
        </w:rPr>
        <w:t xml:space="preserve">(foreign)</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(survey)</w:t>
      </w:r>
    </w:p>
    <w:p>
      <w:pPr>
        <w:pStyle w:val="FirstParagraph"/>
      </w:pPr>
      <w:r>
        <w:t xml:space="preserve">En caso no esten instaladas previamente las librerias, instalarlas con el comando install.package().</w:t>
      </w:r>
    </w:p>
    <w:p>
      <w:pPr>
        <w:pStyle w:val="Heading2"/>
      </w:pPr>
      <w:bookmarkStart w:id="23" w:name="lectura-de-datos"/>
      <w:bookmarkEnd w:id="23"/>
      <w:r>
        <w:t xml:space="preserve">2. Lectura de datos</w:t>
      </w:r>
    </w:p>
    <w:p>
      <w:pPr>
        <w:pStyle w:val="FirstParagraph"/>
      </w:pPr>
      <w:r>
        <w:t xml:space="preserve">Antes de poder leer los datos debemos descargarlos desde la web de INEI (</w:t>
      </w:r>
      <w:hyperlink r:id="rId24">
        <w:r>
          <w:rPr>
            <w:rStyle w:val="Hyperlink"/>
          </w:rPr>
          <w:t xml:space="preserve">http://iinei.inei.gob.pe/microdatos/Consulta_por_Encuesta.asp</w:t>
        </w:r>
      </w:hyperlink>
      <w:r>
        <w:t xml:space="preserve">). En este caso utilizaremos las bases</w:t>
      </w:r>
      <w:r>
        <w:t xml:space="preserve"> </w:t>
      </w:r>
      <w:r>
        <w:rPr>
          <w:b/>
        </w:rPr>
        <w:t xml:space="preserve">CSALUD01, RE223132, REC42, RECH1, RECH23, RECH0</w:t>
      </w:r>
      <w:r>
        <w:t xml:space="preserve">. Estas bases pueden ser encontradas en los módulos</w:t>
      </w:r>
      <w:r>
        <w:t xml:space="preserve"> </w:t>
      </w:r>
      <w:r>
        <w:rPr>
          <w:b/>
        </w:rPr>
        <w:t xml:space="preserve">64, 65, 67, 70 y 414</w:t>
      </w:r>
      <w:r>
        <w:t xml:space="preserve">.</w:t>
      </w:r>
    </w:p>
    <w:p>
      <w:pPr>
        <w:pStyle w:val="FigureWithCaption"/>
      </w:pPr>
      <w:r>
        <w:drawing>
          <wp:inline>
            <wp:extent cx="5334000" cy="2728290"/>
            <wp:effectExtent b="0" l="0" r="0" t="0"/>
            <wp:docPr descr="Imagen 1: Página de consulta de las bases de datos de la ENDES (INEI)" title="" id="1" name="Picture"/>
            <a:graphic>
              <a:graphicData uri="http://schemas.openxmlformats.org/drawingml/2006/picture">
                <pic:pic>
                  <pic:nvPicPr>
                    <pic:cNvPr descr="fig/INEI.PNG" id="0" name="Picture"/>
                    <pic:cNvPicPr>
                      <a:picLocks noChangeArrowheads="1" noChangeAspect="1"/>
                    </pic:cNvPicPr>
                  </pic:nvPicPr>
                  <pic:blipFill>
                    <a:blip r:embed="rId25"/>
                    <a:stretch>
                      <a:fillRect/>
                    </a:stretch>
                  </pic:blipFill>
                  <pic:spPr bwMode="auto">
                    <a:xfrm>
                      <a:off x="0" y="0"/>
                      <a:ext cx="5334000" cy="2728290"/>
                    </a:xfrm>
                    <a:prstGeom prst="rect">
                      <a:avLst/>
                    </a:prstGeom>
                    <a:noFill/>
                    <a:ln w="9525">
                      <a:noFill/>
                      <a:headEnd/>
                      <a:tailEnd/>
                    </a:ln>
                  </pic:spPr>
                </pic:pic>
              </a:graphicData>
            </a:graphic>
          </wp:inline>
        </w:drawing>
      </w:r>
    </w:p>
    <w:p>
      <w:pPr>
        <w:pStyle w:val="ImageCaption"/>
      </w:pPr>
      <w:r>
        <w:rPr>
          <w:i/>
        </w:rPr>
        <w:t xml:space="preserve">Imagen 1: Página de consulta de las bases de datos de la ENDES (INEI)</w:t>
      </w:r>
    </w:p>
    <w:p>
      <w:pPr>
        <w:pStyle w:val="BodyText"/>
      </w:pPr>
      <w:r>
        <w:t xml:space="preserve">Una vez descargados los archivos en formato</w:t>
      </w:r>
      <w:r>
        <w:t xml:space="preserve"> </w:t>
      </w:r>
      <w:r>
        <w:rPr>
          <w:b/>
        </w:rPr>
        <w:t xml:space="preserve">.sav</w:t>
      </w:r>
      <w:r>
        <w:t xml:space="preserve"> </w:t>
      </w:r>
      <w:r>
        <w:t xml:space="preserve">(SPSS), debemos guardarlos en una carpeta de facil acceso. Para facilidad de consulta, nosotros la guardaremos en la carpeta</w:t>
      </w:r>
      <w:r>
        <w:t xml:space="preserve"> </w:t>
      </w:r>
      <w:r>
        <w:rPr>
          <w:b/>
        </w:rPr>
        <w:t xml:space="preserve">/data/</w:t>
      </w:r>
      <w:r>
        <w:t xml:space="preserve"> </w:t>
      </w:r>
      <w:r>
        <w:t xml:space="preserve">de nuestra raiz de proyecto. Para mantener orden en el proceso usamos la siguiente estructura de carpeta.</w:t>
      </w:r>
    </w:p>
    <w:p>
      <w:pPr>
        <w:pStyle w:val="FigureWithCaption"/>
      </w:pPr>
      <w:r>
        <w:drawing>
          <wp:inline>
            <wp:extent cx="5334000" cy="1865358"/>
            <wp:effectExtent b="0" l="0" r="0" t="0"/>
            <wp:docPr descr="Imagen 2: Estructura de archivos del proyecto" title="" id="1" name="Picture"/>
            <a:graphic>
              <a:graphicData uri="http://schemas.openxmlformats.org/drawingml/2006/picture">
                <pic:pic>
                  <pic:nvPicPr>
                    <pic:cNvPr descr="fig/estructura.PNG" id="0" name="Picture"/>
                    <pic:cNvPicPr>
                      <a:picLocks noChangeArrowheads="1" noChangeAspect="1"/>
                    </pic:cNvPicPr>
                  </pic:nvPicPr>
                  <pic:blipFill>
                    <a:blip r:embed="rId26"/>
                    <a:stretch>
                      <a:fillRect/>
                    </a:stretch>
                  </pic:blipFill>
                  <pic:spPr bwMode="auto">
                    <a:xfrm>
                      <a:off x="0" y="0"/>
                      <a:ext cx="5334000" cy="1865358"/>
                    </a:xfrm>
                    <a:prstGeom prst="rect">
                      <a:avLst/>
                    </a:prstGeom>
                    <a:noFill/>
                    <a:ln w="9525">
                      <a:noFill/>
                      <a:headEnd/>
                      <a:tailEnd/>
                    </a:ln>
                  </pic:spPr>
                </pic:pic>
              </a:graphicData>
            </a:graphic>
          </wp:inline>
        </w:drawing>
      </w:r>
    </w:p>
    <w:p>
      <w:pPr>
        <w:pStyle w:val="ImageCaption"/>
      </w:pPr>
      <w:r>
        <w:rPr>
          <w:i/>
        </w:rPr>
        <w:t xml:space="preserve">Imagen 2: Estructura de archivos del proyecto</w:t>
      </w:r>
    </w:p>
    <w:p>
      <w:pPr>
        <w:pStyle w:val="BodyText"/>
      </w:pPr>
      <w:r>
        <w:t xml:space="preserve">Una vez preparados los archivos procedemos a la importación de cada una de las bases con el comando</w:t>
      </w:r>
      <w:r>
        <w:t xml:space="preserve"> </w:t>
      </w:r>
      <w:r>
        <w:rPr>
          <w:b/>
        </w:rPr>
        <w:t xml:space="preserve">read.spss()</w:t>
      </w:r>
      <w:r>
        <w:t xml:space="preserve"> </w:t>
      </w:r>
      <w:r>
        <w:t xml:space="preserve">del paquete</w:t>
      </w:r>
      <w:r>
        <w:t xml:space="preserve"> </w:t>
      </w:r>
      <w:r>
        <w:rPr>
          <w:i/>
        </w:rPr>
        <w:t xml:space="preserve">Foreign</w:t>
      </w:r>
      <w:r>
        <w:t xml:space="preserve">. Adicionalmente utilizamos el comando</w:t>
      </w:r>
      <w:r>
        <w:t xml:space="preserve"> </w:t>
      </w:r>
      <w:r>
        <w:rPr>
          <w:b/>
        </w:rPr>
        <w:t xml:space="preserve">as.tibble()</w:t>
      </w:r>
      <w:r>
        <w:t xml:space="preserve"> </w:t>
      </w:r>
      <w:r>
        <w:t xml:space="preserve">para convertir las bases al formato Tibble</w:t>
      </w:r>
      <w:r>
        <w:t xml:space="preserve"> </w:t>
      </w:r>
      <w:r>
        <w:t xml:space="preserve">[</w:t>
      </w:r>
      <w:hyperlink w:anchor="ref-wickham2016r">
        <w:r>
          <w:rPr>
            <w:rStyle w:val="Hyperlink"/>
          </w:rPr>
          <w:t xml:space="preserve">2</w:t>
        </w:r>
      </w:hyperlink>
      <w:r>
        <w:t xml:space="preserve">]</w:t>
      </w:r>
    </w:p>
    <w:p>
      <w:pPr>
        <w:pStyle w:val="SourceCode"/>
      </w:pPr>
      <w:r>
        <w:rPr>
          <w:rStyle w:val="NormalTok"/>
        </w:rPr>
        <w:t xml:space="preserve">CSALUD01 &lt;-</w:t>
      </w:r>
      <w:r>
        <w:rPr>
          <w:rStyle w:val="StringTok"/>
        </w:rPr>
        <w:t xml:space="preserve"> </w:t>
      </w:r>
      <w:r>
        <w:rPr>
          <w:rStyle w:val="KeywordTok"/>
        </w:rPr>
        <w:t xml:space="preserve">as.tibble</w:t>
      </w:r>
      <w:r>
        <w:rPr>
          <w:rStyle w:val="NormalTok"/>
        </w:rPr>
        <w:t xml:space="preserve">(</w:t>
      </w:r>
      <w:r>
        <w:rPr>
          <w:rStyle w:val="KeywordTok"/>
        </w:rPr>
        <w:t xml:space="preserve">read.spss</w:t>
      </w:r>
      <w:r>
        <w:rPr>
          <w:rStyle w:val="NormalTok"/>
        </w:rPr>
        <w:t xml:space="preserve">(</w:t>
      </w:r>
      <w:r>
        <w:rPr>
          <w:rStyle w:val="StringTok"/>
        </w:rPr>
        <w:t xml:space="preserve">"data/CSALUD01.sav"</w:t>
      </w:r>
      <w:r>
        <w:rPr>
          <w:rStyle w:val="NormalTok"/>
        </w:rPr>
        <w:t xml:space="preserve">,</w:t>
      </w:r>
      <w:r>
        <w:rPr>
          <w:rStyle w:val="DataTypeTok"/>
        </w:rPr>
        <w:t xml:space="preserve">to.data.frame =</w:t>
      </w:r>
      <w:r>
        <w:rPr>
          <w:rStyle w:val="NormalTok"/>
        </w:rPr>
        <w:t xml:space="preserve"> T))</w:t>
      </w:r>
      <w:r>
        <w:br w:type="textWrapping"/>
      </w:r>
      <w:r>
        <w:rPr>
          <w:rStyle w:val="NormalTok"/>
        </w:rPr>
        <w:t xml:space="preserve">MUJER_RE223132 &lt;-</w:t>
      </w:r>
      <w:r>
        <w:rPr>
          <w:rStyle w:val="StringTok"/>
        </w:rPr>
        <w:t xml:space="preserve">  </w:t>
      </w:r>
      <w:r>
        <w:rPr>
          <w:rStyle w:val="KeywordTok"/>
        </w:rPr>
        <w:t xml:space="preserve">as.tibble</w:t>
      </w:r>
      <w:r>
        <w:rPr>
          <w:rStyle w:val="NormalTok"/>
        </w:rPr>
        <w:t xml:space="preserve">(</w:t>
      </w:r>
      <w:r>
        <w:rPr>
          <w:rStyle w:val="KeywordTok"/>
        </w:rPr>
        <w:t xml:space="preserve">read.spss</w:t>
      </w:r>
      <w:r>
        <w:rPr>
          <w:rStyle w:val="NormalTok"/>
        </w:rPr>
        <w:t xml:space="preserve">(</w:t>
      </w:r>
      <w:r>
        <w:rPr>
          <w:rStyle w:val="StringTok"/>
        </w:rPr>
        <w:t xml:space="preserve">"data/RE223132.SAV"</w:t>
      </w:r>
      <w:r>
        <w:rPr>
          <w:rStyle w:val="NormalTok"/>
        </w:rPr>
        <w:t xml:space="preserve">,</w:t>
      </w:r>
      <w:r>
        <w:rPr>
          <w:rStyle w:val="DataTypeTok"/>
        </w:rPr>
        <w:t xml:space="preserve">to.data.frame =</w:t>
      </w:r>
      <w:r>
        <w:rPr>
          <w:rStyle w:val="NormalTok"/>
        </w:rPr>
        <w:t xml:space="preserve"> T))</w:t>
      </w:r>
      <w:r>
        <w:br w:type="textWrapping"/>
      </w:r>
      <w:r>
        <w:rPr>
          <w:rStyle w:val="NormalTok"/>
        </w:rPr>
        <w:t xml:space="preserve">MUJER_REC42 &lt;-</w:t>
      </w:r>
      <w:r>
        <w:rPr>
          <w:rStyle w:val="StringTok"/>
        </w:rPr>
        <w:t xml:space="preserve">  </w:t>
      </w:r>
      <w:r>
        <w:rPr>
          <w:rStyle w:val="KeywordTok"/>
        </w:rPr>
        <w:t xml:space="preserve">as.tibble</w:t>
      </w:r>
      <w:r>
        <w:rPr>
          <w:rStyle w:val="NormalTok"/>
        </w:rPr>
        <w:t xml:space="preserve">(</w:t>
      </w:r>
      <w:r>
        <w:rPr>
          <w:rStyle w:val="KeywordTok"/>
        </w:rPr>
        <w:t xml:space="preserve">read.spss</w:t>
      </w:r>
      <w:r>
        <w:rPr>
          <w:rStyle w:val="NormalTok"/>
        </w:rPr>
        <w:t xml:space="preserve">(</w:t>
      </w:r>
      <w:r>
        <w:rPr>
          <w:rStyle w:val="StringTok"/>
        </w:rPr>
        <w:t xml:space="preserve">"data/REC42.SAV"</w:t>
      </w:r>
      <w:r>
        <w:rPr>
          <w:rStyle w:val="NormalTok"/>
        </w:rPr>
        <w:t xml:space="preserve">,</w:t>
      </w:r>
      <w:r>
        <w:rPr>
          <w:rStyle w:val="DataTypeTok"/>
        </w:rPr>
        <w:t xml:space="preserve">to.data.frame =</w:t>
      </w:r>
      <w:r>
        <w:rPr>
          <w:rStyle w:val="NormalTok"/>
        </w:rPr>
        <w:t xml:space="preserve"> T))</w:t>
      </w:r>
      <w:r>
        <w:br w:type="textWrapping"/>
      </w:r>
      <w:r>
        <w:rPr>
          <w:rStyle w:val="NormalTok"/>
        </w:rPr>
        <w:t xml:space="preserve">HOGAR_RECH1 &lt;-</w:t>
      </w:r>
      <w:r>
        <w:rPr>
          <w:rStyle w:val="StringTok"/>
        </w:rPr>
        <w:t xml:space="preserve">  </w:t>
      </w:r>
      <w:r>
        <w:rPr>
          <w:rStyle w:val="KeywordTok"/>
        </w:rPr>
        <w:t xml:space="preserve">as.tibble</w:t>
      </w:r>
      <w:r>
        <w:rPr>
          <w:rStyle w:val="NormalTok"/>
        </w:rPr>
        <w:t xml:space="preserve">(</w:t>
      </w:r>
      <w:r>
        <w:rPr>
          <w:rStyle w:val="KeywordTok"/>
        </w:rPr>
        <w:t xml:space="preserve">read.spss</w:t>
      </w:r>
      <w:r>
        <w:rPr>
          <w:rStyle w:val="NormalTok"/>
        </w:rPr>
        <w:t xml:space="preserve">(</w:t>
      </w:r>
      <w:r>
        <w:rPr>
          <w:rStyle w:val="StringTok"/>
        </w:rPr>
        <w:t xml:space="preserve">"data/RECH1.SAV"</w:t>
      </w:r>
      <w:r>
        <w:rPr>
          <w:rStyle w:val="NormalTok"/>
        </w:rPr>
        <w:t xml:space="preserve">,</w:t>
      </w:r>
      <w:r>
        <w:rPr>
          <w:rStyle w:val="DataTypeTok"/>
        </w:rPr>
        <w:t xml:space="preserve">to.data.frame =</w:t>
      </w:r>
      <w:r>
        <w:rPr>
          <w:rStyle w:val="NormalTok"/>
        </w:rPr>
        <w:t xml:space="preserve"> T))</w:t>
      </w:r>
      <w:r>
        <w:br w:type="textWrapping"/>
      </w:r>
      <w:r>
        <w:rPr>
          <w:rStyle w:val="NormalTok"/>
        </w:rPr>
        <w:t xml:space="preserve">VIVIENDA_RECH23 &lt;-</w:t>
      </w:r>
      <w:r>
        <w:rPr>
          <w:rStyle w:val="StringTok"/>
        </w:rPr>
        <w:t xml:space="preserve">  </w:t>
      </w:r>
      <w:r>
        <w:rPr>
          <w:rStyle w:val="KeywordTok"/>
        </w:rPr>
        <w:t xml:space="preserve">as.tibble</w:t>
      </w:r>
      <w:r>
        <w:rPr>
          <w:rStyle w:val="NormalTok"/>
        </w:rPr>
        <w:t xml:space="preserve">(</w:t>
      </w:r>
      <w:r>
        <w:rPr>
          <w:rStyle w:val="KeywordTok"/>
        </w:rPr>
        <w:t xml:space="preserve">read.spss</w:t>
      </w:r>
      <w:r>
        <w:rPr>
          <w:rStyle w:val="NormalTok"/>
        </w:rPr>
        <w:t xml:space="preserve">(</w:t>
      </w:r>
      <w:r>
        <w:rPr>
          <w:rStyle w:val="StringTok"/>
        </w:rPr>
        <w:t xml:space="preserve">"data/RECH23.SAV"</w:t>
      </w:r>
      <w:r>
        <w:rPr>
          <w:rStyle w:val="NormalTok"/>
        </w:rPr>
        <w:t xml:space="preserve">,</w:t>
      </w:r>
      <w:r>
        <w:rPr>
          <w:rStyle w:val="DataTypeTok"/>
        </w:rPr>
        <w:t xml:space="preserve">to.data.frame =</w:t>
      </w:r>
      <w:r>
        <w:rPr>
          <w:rStyle w:val="NormalTok"/>
        </w:rPr>
        <w:t xml:space="preserve"> T))</w:t>
      </w:r>
      <w:r>
        <w:br w:type="textWrapping"/>
      </w:r>
      <w:r>
        <w:rPr>
          <w:rStyle w:val="NormalTok"/>
        </w:rPr>
        <w:t xml:space="preserve">HOGAR_RECH0 &lt;-</w:t>
      </w:r>
      <w:r>
        <w:rPr>
          <w:rStyle w:val="StringTok"/>
        </w:rPr>
        <w:t xml:space="preserve">  </w:t>
      </w:r>
      <w:r>
        <w:rPr>
          <w:rStyle w:val="KeywordTok"/>
        </w:rPr>
        <w:t xml:space="preserve">as.tibble</w:t>
      </w:r>
      <w:r>
        <w:rPr>
          <w:rStyle w:val="NormalTok"/>
        </w:rPr>
        <w:t xml:space="preserve">(</w:t>
      </w:r>
      <w:r>
        <w:rPr>
          <w:rStyle w:val="KeywordTok"/>
        </w:rPr>
        <w:t xml:space="preserve">read.spss</w:t>
      </w:r>
      <w:r>
        <w:rPr>
          <w:rStyle w:val="NormalTok"/>
        </w:rPr>
        <w:t xml:space="preserve">(</w:t>
      </w:r>
      <w:r>
        <w:rPr>
          <w:rStyle w:val="StringTok"/>
        </w:rPr>
        <w:t xml:space="preserve">"data/RECH0.SAV"</w:t>
      </w:r>
      <w:r>
        <w:rPr>
          <w:rStyle w:val="NormalTok"/>
        </w:rPr>
        <w:t xml:space="preserve">,</w:t>
      </w:r>
      <w:r>
        <w:rPr>
          <w:rStyle w:val="DataTypeTok"/>
        </w:rPr>
        <w:t xml:space="preserve">to.data.frame =</w:t>
      </w:r>
      <w:r>
        <w:rPr>
          <w:rStyle w:val="NormalTok"/>
        </w:rPr>
        <w:t xml:space="preserve"> T))</w:t>
      </w:r>
    </w:p>
    <w:p>
      <w:pPr>
        <w:pStyle w:val="FirstParagraph"/>
      </w:pPr>
      <w:r>
        <w:t xml:space="preserve">Podemos, a manera de ejemplo, explorar los datos mediante el comandos</w:t>
      </w:r>
      <w:r>
        <w:t xml:space="preserve"> </w:t>
      </w:r>
      <w:r>
        <w:rPr>
          <w:b/>
        </w:rPr>
        <w:t xml:space="preserve">head()</w:t>
      </w:r>
      <w:r>
        <w:t xml:space="preserve">. No recomendamos usar</w:t>
      </w:r>
      <w:r>
        <w:t xml:space="preserve"> </w:t>
      </w:r>
      <w:r>
        <w:rPr>
          <w:b/>
        </w:rPr>
        <w:t xml:space="preserve">summary()</w:t>
      </w:r>
      <w:r>
        <w:t xml:space="preserve"> </w:t>
      </w:r>
      <w:r>
        <w:t xml:space="preserve">ni</w:t>
      </w:r>
      <w:r>
        <w:t xml:space="preserve"> </w:t>
      </w:r>
      <w:r>
        <w:rPr>
          <w:b/>
        </w:rPr>
        <w:t xml:space="preserve">view()</w:t>
      </w:r>
      <w:r>
        <w:t xml:space="preserve"> </w:t>
      </w:r>
      <w:r>
        <w:t xml:space="preserve">por la cantidad de variables.</w:t>
      </w:r>
    </w:p>
    <w:p>
      <w:pPr>
        <w:pStyle w:val="SourceCode"/>
      </w:pPr>
      <w:r>
        <w:rPr>
          <w:rStyle w:val="KeywordTok"/>
        </w:rPr>
        <w:t xml:space="preserve">head</w:t>
      </w:r>
      <w:r>
        <w:rPr>
          <w:rStyle w:val="NormalTok"/>
        </w:rPr>
        <w:t xml:space="preserve">(CSALUD01)</w:t>
      </w:r>
    </w:p>
    <w:p>
      <w:pPr>
        <w:pStyle w:val="SourceCode"/>
      </w:pPr>
      <w:r>
        <w:rPr>
          <w:rStyle w:val="VerbatimChar"/>
        </w:rPr>
        <w:t xml:space="preserve">## # A tibble: 6 x 263</w:t>
      </w:r>
      <w:r>
        <w:br w:type="textWrapping"/>
      </w:r>
      <w:r>
        <w:rPr>
          <w:rStyle w:val="VerbatimChar"/>
        </w:rPr>
        <w:t xml:space="preserve">##   QHCLUSTER QHNUMBER QHHOME QSNUMERO QSINTD QSINTM QSINTY QSEQUIPO QSENTREV</w:t>
      </w:r>
      <w:r>
        <w:br w:type="textWrapping"/>
      </w:r>
      <w:r>
        <w:rPr>
          <w:rStyle w:val="VerbatimChar"/>
        </w:rPr>
        <w:t xml:space="preserve">##       &lt;dbl&gt;    &lt;dbl&gt;  &lt;dbl&gt;    &lt;dbl&gt;  &lt;dbl&gt; &lt;fct&gt;  &lt;fct&gt;  &lt;fct&gt;       &lt;dbl&gt;</w:t>
      </w:r>
      <w:r>
        <w:br w:type="textWrapping"/>
      </w:r>
      <w:r>
        <w:rPr>
          <w:rStyle w:val="VerbatimChar"/>
        </w:rPr>
        <w:t xml:space="preserve">## 1         1       14      1        1     27 Mayo   2017   AMAZONA~        8</w:t>
      </w:r>
      <w:r>
        <w:br w:type="textWrapping"/>
      </w:r>
      <w:r>
        <w:rPr>
          <w:rStyle w:val="VerbatimChar"/>
        </w:rPr>
        <w:t xml:space="preserve">## 2         1       25      1        2     27 Mayo   2017   AMAZONA~        2</w:t>
      </w:r>
      <w:r>
        <w:br w:type="textWrapping"/>
      </w:r>
      <w:r>
        <w:rPr>
          <w:rStyle w:val="VerbatimChar"/>
        </w:rPr>
        <w:t xml:space="preserve">## 3         1       32      1        2     29 Mayo   2017   AMAZONA~        8</w:t>
      </w:r>
      <w:r>
        <w:br w:type="textWrapping"/>
      </w:r>
      <w:r>
        <w:rPr>
          <w:rStyle w:val="VerbatimChar"/>
        </w:rPr>
        <w:t xml:space="preserve">## 4         1       36      1        2     29 Mayo   2017   AMAZONA~        2</w:t>
      </w:r>
      <w:r>
        <w:br w:type="textWrapping"/>
      </w:r>
      <w:r>
        <w:rPr>
          <w:rStyle w:val="VerbatimChar"/>
        </w:rPr>
        <w:t xml:space="preserve">## 5         1       45      1        2     27 Mayo   2017   AMAZONA~        8</w:t>
      </w:r>
      <w:r>
        <w:br w:type="textWrapping"/>
      </w:r>
      <w:r>
        <w:rPr>
          <w:rStyle w:val="VerbatimChar"/>
        </w:rPr>
        <w:t xml:space="preserve">## 6         1       52      1        2     27 Mayo   2017   AMAZONA~        2</w:t>
      </w:r>
      <w:r>
        <w:br w:type="textWrapping"/>
      </w:r>
      <w:r>
        <w:rPr>
          <w:rStyle w:val="VerbatimChar"/>
        </w:rPr>
        <w:t xml:space="preserve">## # ... with 254 more variables: QSTOTVISIT &lt;dbl&gt;, QSRESULT &lt;fct&gt;,</w:t>
      </w:r>
      <w:r>
        <w:br w:type="textWrapping"/>
      </w:r>
      <w:r>
        <w:rPr>
          <w:rStyle w:val="VerbatimChar"/>
        </w:rPr>
        <w:t xml:space="preserve">## #   QSRESULTX &lt;fct&gt;, QSNINOS &lt;dbl&gt;, QSRESINF &lt;fct&gt;, QSORDNIN1 &lt;fct&gt;,</w:t>
      </w:r>
      <w:r>
        <w:br w:type="textWrapping"/>
      </w:r>
      <w:r>
        <w:rPr>
          <w:rStyle w:val="VerbatimChar"/>
        </w:rPr>
        <w:t xml:space="preserve">## #   QSRESNIN1 &lt;fct&gt;, QSORDNIN2 &lt;fct&gt;, QSRESNIN2 &lt;fct&gt;, QSORDNIN3 &lt;fct&gt;,</w:t>
      </w:r>
      <w:r>
        <w:br w:type="textWrapping"/>
      </w:r>
      <w:r>
        <w:rPr>
          <w:rStyle w:val="VerbatimChar"/>
        </w:rPr>
        <w:t xml:space="preserve">## #   QSRESNIN3 &lt;fct&gt;, QSORDNIN4 &lt;fct&gt;, QSRESNIN4 &lt;fct&gt;, QSORDNIN5 &lt;fct&gt;,</w:t>
      </w:r>
      <w:r>
        <w:br w:type="textWrapping"/>
      </w:r>
      <w:r>
        <w:rPr>
          <w:rStyle w:val="VerbatimChar"/>
        </w:rPr>
        <w:t xml:space="preserve">## #   QSRESNIN5 &lt;fct&gt;, QSORDNIN6 &lt;fct&gt;, QSRESNIN6 &lt;fct&gt;, QSORDNIN7 &lt;fct&gt;,</w:t>
      </w:r>
      <w:r>
        <w:br w:type="textWrapping"/>
      </w:r>
      <w:r>
        <w:rPr>
          <w:rStyle w:val="VerbatimChar"/>
        </w:rPr>
        <w:t xml:space="preserve">## #   QSRESNIN7 &lt;fct&gt;, QSORDNIN8 &lt;fct&gt;, QSRESNIN8 &lt;fct&gt;, QSORDNIN9 &lt;fct&gt;,</w:t>
      </w:r>
      <w:r>
        <w:br w:type="textWrapping"/>
      </w:r>
      <w:r>
        <w:rPr>
          <w:rStyle w:val="VerbatimChar"/>
        </w:rPr>
        <w:t xml:space="preserve">## #   QSRESNIN9 &lt;fct&gt;, QSORDNIND &lt;fct&gt;, QSRESNIND &lt;fct&gt;, CONTROL_S &lt;fct&gt;,</w:t>
      </w:r>
      <w:r>
        <w:br w:type="textWrapping"/>
      </w:r>
      <w:r>
        <w:rPr>
          <w:rStyle w:val="VerbatimChar"/>
        </w:rPr>
        <w:t xml:space="preserve">## #   QS20C &lt;dbl&gt;, QSSEXO &lt;fct&gt;, QS21AH &lt;dbl&gt;, QS21AM &lt;dbl&gt;, QSMEF &lt;fct&gt;,</w:t>
      </w:r>
      <w:r>
        <w:br w:type="textWrapping"/>
      </w:r>
      <w:r>
        <w:rPr>
          <w:rStyle w:val="VerbatimChar"/>
        </w:rPr>
        <w:t xml:space="preserve">## #   QSDIA &lt;fct&gt;, QS22M &lt;fct&gt;, QS22A &lt;fct&gt;, QS23 &lt;fct&gt;, QS24 &lt;fct&gt;,</w:t>
      </w:r>
      <w:r>
        <w:br w:type="textWrapping"/>
      </w:r>
      <w:r>
        <w:rPr>
          <w:rStyle w:val="VerbatimChar"/>
        </w:rPr>
        <w:t xml:space="preserve">## #   QS25N &lt;fct&gt;, QS25AG &lt;fct&gt;, QS25A &lt;fct&gt;, QS25G &lt;fct&gt;, QS25AA &lt;fct&gt;,</w:t>
      </w:r>
      <w:r>
        <w:br w:type="textWrapping"/>
      </w:r>
      <w:r>
        <w:rPr>
          <w:rStyle w:val="VerbatimChar"/>
        </w:rPr>
        <w:t xml:space="preserve">## #   QS25AAX &lt;fct&gt;, QS25BB &lt;fct&gt;, QS25BBX &lt;fct&gt;, QS26 &lt;fct&gt;, QS27 &lt;fct&gt;,</w:t>
      </w:r>
      <w:r>
        <w:br w:type="textWrapping"/>
      </w:r>
      <w:r>
        <w:rPr>
          <w:rStyle w:val="VerbatimChar"/>
        </w:rPr>
        <w:t xml:space="preserve">## #   QS27X &lt;fct&gt;, QS28 &lt;fct&gt;, QS29A &lt;fct&gt;, QS29B &lt;fct&gt;, QS100 &lt;fct&gt;,</w:t>
      </w:r>
      <w:r>
        <w:br w:type="textWrapping"/>
      </w:r>
      <w:r>
        <w:rPr>
          <w:rStyle w:val="VerbatimChar"/>
        </w:rPr>
        <w:t xml:space="preserve">## #   QS101 &lt;fct&gt;, QS101CX &lt;fct&gt;, QS101X &lt;fct&gt;, QS102 &lt;fct&gt;, QS103U &lt;fct&gt;,</w:t>
      </w:r>
      <w:r>
        <w:br w:type="textWrapping"/>
      </w:r>
      <w:r>
        <w:rPr>
          <w:rStyle w:val="VerbatimChar"/>
        </w:rPr>
        <w:t xml:space="preserve">## #   QS103C &lt;dbl&gt;, QS104 &lt;fct&gt;, QS105 &lt;fct&gt;, QS106 &lt;fct&gt;, QS107 &lt;fct&gt;,</w:t>
      </w:r>
      <w:r>
        <w:br w:type="textWrapping"/>
      </w:r>
      <w:r>
        <w:rPr>
          <w:rStyle w:val="VerbatimChar"/>
        </w:rPr>
        <w:t xml:space="preserve">## #   QS108 &lt;fct&gt;, QS108CX &lt;fct&gt;, QS108X &lt;fct&gt;, QS109 &lt;fct&gt;, QS110U &lt;fct&gt;,</w:t>
      </w:r>
      <w:r>
        <w:br w:type="textWrapping"/>
      </w:r>
      <w:r>
        <w:rPr>
          <w:rStyle w:val="VerbatimChar"/>
        </w:rPr>
        <w:t xml:space="preserve">## #   QS110C &lt;dbl&gt;, QS111 &lt;fct&gt;, QS112 &lt;fct&gt;, QS113 &lt;fct&gt;, QS202 &lt;fct&gt;,</w:t>
      </w:r>
      <w:r>
        <w:br w:type="textWrapping"/>
      </w:r>
      <w:r>
        <w:rPr>
          <w:rStyle w:val="VerbatimChar"/>
        </w:rPr>
        <w:t xml:space="preserve">## #   QS203U &lt;fct&gt;, QS203C &lt;dbl&gt;, QS204U &lt;fct&gt;, QS204C &lt;dbl&gt;, QS205U &lt;fct&gt;,</w:t>
      </w:r>
      <w:r>
        <w:br w:type="textWrapping"/>
      </w:r>
      <w:r>
        <w:rPr>
          <w:rStyle w:val="VerbatimChar"/>
        </w:rPr>
        <w:t xml:space="preserve">## #   QS205C &lt;dbl&gt;, QS206 &lt;fct&gt;, QS207U &lt;fct&gt;, QS207C &lt;dbl&gt;, QS208 &lt;fct&gt;,</w:t>
      </w:r>
      <w:r>
        <w:br w:type="textWrapping"/>
      </w:r>
      <w:r>
        <w:rPr>
          <w:rStyle w:val="VerbatimChar"/>
        </w:rPr>
        <w:t xml:space="preserve">## #   QS209 &lt;fct&gt;, QS210 &lt;fct&gt;, QS211U &lt;fct&gt;, QS211C &lt;dbl&gt;, QS212T &lt;fct&gt;,</w:t>
      </w:r>
      <w:r>
        <w:br w:type="textWrapping"/>
      </w:r>
      <w:r>
        <w:rPr>
          <w:rStyle w:val="VerbatimChar"/>
        </w:rPr>
        <w:t xml:space="preserve">## #   QS212A &lt;fct&gt;, QS212AV &lt;fct&gt;, QS212AB &lt;fct&gt;, QS212B &lt;fct&gt;,</w:t>
      </w:r>
      <w:r>
        <w:br w:type="textWrapping"/>
      </w:r>
      <w:r>
        <w:rPr>
          <w:rStyle w:val="VerbatimChar"/>
        </w:rPr>
        <w:t xml:space="preserve">## #   QS212BV &lt;fct&gt;, QS212BB &lt;fct&gt;, QS212C &lt;fct&gt;, QS212CV &lt;fct&gt;,</w:t>
      </w:r>
      <w:r>
        <w:br w:type="textWrapping"/>
      </w:r>
      <w:r>
        <w:rPr>
          <w:rStyle w:val="VerbatimChar"/>
        </w:rPr>
        <w:t xml:space="preserve">## #   QS212CB &lt;fct&gt;, QS212D &lt;fct&gt;, QS212DV &lt;fct&gt;, QS212DB &lt;fct&gt;,</w:t>
      </w:r>
      <w:r>
        <w:br w:type="textWrapping"/>
      </w:r>
      <w:r>
        <w:rPr>
          <w:rStyle w:val="VerbatimChar"/>
        </w:rPr>
        <w:t xml:space="preserve">## #   QS212E &lt;fct&gt;, QS212EV &lt;fct&gt;, ...</w:t>
      </w:r>
    </w:p>
    <w:p>
      <w:pPr>
        <w:pStyle w:val="Heading2"/>
      </w:pPr>
      <w:bookmarkStart w:id="27" w:name="preparacion-de-las-bases"/>
      <w:bookmarkEnd w:id="27"/>
      <w:r>
        <w:t xml:space="preserve">3. Preparación de las bases</w:t>
      </w:r>
    </w:p>
    <w:p>
      <w:pPr>
        <w:pStyle w:val="FirstParagraph"/>
      </w:pPr>
      <w:r>
        <w:t xml:space="preserve">Para poder unir las bases de datos es necesario crear nuevas variables para luego poder hacer una unión (merge) satisfactorio entre las distintas bases. La unión se basa en dos identificadores que son</w:t>
      </w:r>
      <w:r>
        <w:t xml:space="preserve"> </w:t>
      </w:r>
      <w:r>
        <w:rPr>
          <w:i/>
        </w:rPr>
        <w:t xml:space="preserve">HHID</w:t>
      </w:r>
      <w:r>
        <w:t xml:space="preserve"> </w:t>
      </w:r>
      <w:r>
        <w:t xml:space="preserve">y</w:t>
      </w:r>
      <w:r>
        <w:t xml:space="preserve"> </w:t>
      </w:r>
      <w:r>
        <w:rPr>
          <w:i/>
        </w:rPr>
        <w:t xml:space="preserve">QSNUMERO</w:t>
      </w:r>
      <w:r>
        <w:t xml:space="preserve">. En las bases que se carezca de una u otra de estas variables se deberá, como se demuestra a continuación, generarlas.</w:t>
      </w:r>
    </w:p>
    <w:p>
      <w:pPr>
        <w:pStyle w:val="BodyText"/>
      </w:pPr>
      <w:r>
        <w:t xml:space="preserve">En</w:t>
      </w:r>
      <w:r>
        <w:t xml:space="preserve"> </w:t>
      </w:r>
      <w:r>
        <w:rPr>
          <w:b/>
        </w:rPr>
        <w:t xml:space="preserve">MUJER_RE223132</w:t>
      </w:r>
      <w:r>
        <w:t xml:space="preserve"> </w:t>
      </w:r>
      <w:r>
        <w:t xml:space="preserve">creamos</w:t>
      </w:r>
      <w:r>
        <w:t xml:space="preserve"> </w:t>
      </w:r>
      <w:r>
        <w:rPr>
          <w:i/>
        </w:rPr>
        <w:t xml:space="preserve">HHID</w:t>
      </w:r>
      <w:r>
        <w:t xml:space="preserve"> </w:t>
      </w:r>
      <w:r>
        <w:t xml:space="preserve">y</w:t>
      </w:r>
      <w:r>
        <w:t xml:space="preserve"> </w:t>
      </w:r>
      <w:r>
        <w:rPr>
          <w:i/>
        </w:rPr>
        <w:t xml:space="preserve">QSNUMERO</w:t>
      </w:r>
      <w:r>
        <w:t xml:space="preserve">. Para obtenerlos debemos entender que</w:t>
      </w:r>
      <w:r>
        <w:t xml:space="preserve"> </w:t>
      </w:r>
      <w:r>
        <w:rPr>
          <w:i/>
        </w:rPr>
        <w:t xml:space="preserve">HHID</w:t>
      </w:r>
      <w:r>
        <w:t xml:space="preserve"> </w:t>
      </w:r>
      <w:r>
        <w:t xml:space="preserve">es la subcadena de texto sin los 3 últimos caracteres de CASEID. Por otro lado,</w:t>
      </w:r>
      <w:r>
        <w:t xml:space="preserve"> </w:t>
      </w:r>
      <w:r>
        <w:rPr>
          <w:i/>
        </w:rPr>
        <w:t xml:space="preserve">QSNUMERO</w:t>
      </w:r>
      <w:r>
        <w:t xml:space="preserve"> </w:t>
      </w:r>
      <w:r>
        <w:t xml:space="preserve">es la subcadena restante (2 últimos caracteres) de la variable</w:t>
      </w:r>
      <w:r>
        <w:t xml:space="preserve"> </w:t>
      </w:r>
      <w:r>
        <w:rPr>
          <w:i/>
        </w:rPr>
        <w:t xml:space="preserve">CASEID</w:t>
      </w:r>
      <w:r>
        <w:t xml:space="preserve">. Para extraer subcadenas de texto utilizamos el comando</w:t>
      </w:r>
      <w:r>
        <w:t xml:space="preserve"> </w:t>
      </w:r>
      <w:r>
        <w:rPr>
          <w:b/>
        </w:rPr>
        <w:t xml:space="preserve">str_sub()</w:t>
      </w:r>
      <w:r>
        <w:t xml:space="preserve">:</w:t>
      </w:r>
    </w:p>
    <w:p>
      <w:pPr>
        <w:pStyle w:val="SourceCode"/>
      </w:pPr>
      <w:r>
        <w:rPr>
          <w:rStyle w:val="NormalTok"/>
        </w:rPr>
        <w:t xml:space="preserve">MUJER_RE223132</w:t>
      </w:r>
      <w:r>
        <w:rPr>
          <w:rStyle w:val="OperatorTok"/>
        </w:rPr>
        <w:t xml:space="preserve">$</w:t>
      </w:r>
      <w:r>
        <w:rPr>
          <w:rStyle w:val="NormalTok"/>
        </w:rPr>
        <w:t xml:space="preserve">HHID &lt;-</w:t>
      </w:r>
      <w:r>
        <w:rPr>
          <w:rStyle w:val="StringTok"/>
        </w:rPr>
        <w:t xml:space="preserve"> </w:t>
      </w:r>
      <w:r>
        <w:rPr>
          <w:rStyle w:val="KeywordTok"/>
        </w:rPr>
        <w:t xml:space="preserve">str_sub</w:t>
      </w:r>
      <w:r>
        <w:rPr>
          <w:rStyle w:val="NormalTok"/>
        </w:rPr>
        <w:t xml:space="preserve">(MUJER_RE223132</w:t>
      </w:r>
      <w:r>
        <w:rPr>
          <w:rStyle w:val="OperatorTok"/>
        </w:rPr>
        <w:t xml:space="preserve">$</w:t>
      </w:r>
      <w:r>
        <w:rPr>
          <w:rStyle w:val="NormalTok"/>
        </w:rPr>
        <w:t xml:space="preserve">CASEID,</w:t>
      </w:r>
      <w:r>
        <w:rPr>
          <w:rStyle w:val="DecValTok"/>
        </w:rPr>
        <w:t xml:space="preserve">1</w:t>
      </w:r>
      <w:r>
        <w:rPr>
          <w:rStyle w:val="NormalTok"/>
        </w:rPr>
        <w:t xml:space="preserve">,(</w:t>
      </w:r>
      <w:r>
        <w:rPr>
          <w:rStyle w:val="KeywordTok"/>
        </w:rPr>
        <w:t xml:space="preserve">str_length</w:t>
      </w:r>
      <w:r>
        <w:rPr>
          <w:rStyle w:val="NormalTok"/>
        </w:rPr>
        <w:t xml:space="preserve">(MUJER_RE223132</w:t>
      </w:r>
      <w:r>
        <w:rPr>
          <w:rStyle w:val="OperatorTok"/>
        </w:rPr>
        <w:t xml:space="preserve">$</w:t>
      </w:r>
      <w:r>
        <w:rPr>
          <w:rStyle w:val="NormalTok"/>
        </w:rPr>
        <w:t xml:space="preserve">CASEID)</w:t>
      </w:r>
      <w:r>
        <w:rPr>
          <w:rStyle w:val="OperatorTok"/>
        </w:rPr>
        <w:t xml:space="preserve">-</w:t>
      </w:r>
      <w:r>
        <w:rPr>
          <w:rStyle w:val="DecValTok"/>
        </w:rPr>
        <w:t xml:space="preserve">3</w:t>
      </w:r>
      <w:r>
        <w:rPr>
          <w:rStyle w:val="NormalTok"/>
        </w:rPr>
        <w:t xml:space="preserve">))</w:t>
      </w:r>
      <w:r>
        <w:br w:type="textWrapping"/>
      </w:r>
      <w:r>
        <w:rPr>
          <w:rStyle w:val="NormalTok"/>
        </w:rPr>
        <w:t xml:space="preserve">MUJER_RE223132</w:t>
      </w:r>
      <w:r>
        <w:rPr>
          <w:rStyle w:val="OperatorTok"/>
        </w:rPr>
        <w:t xml:space="preserve">$</w:t>
      </w:r>
      <w:r>
        <w:rPr>
          <w:rStyle w:val="NormalTok"/>
        </w:rPr>
        <w:t xml:space="preserve">QSNUMERO &lt;-</w:t>
      </w:r>
      <w:r>
        <w:rPr>
          <w:rStyle w:val="StringTok"/>
        </w:rPr>
        <w:t xml:space="preserve"> </w:t>
      </w:r>
      <w:r>
        <w:rPr>
          <w:rStyle w:val="KeywordTok"/>
        </w:rPr>
        <w:t xml:space="preserve">str_sub</w:t>
      </w:r>
      <w:r>
        <w:rPr>
          <w:rStyle w:val="NormalTok"/>
        </w:rPr>
        <w:t xml:space="preserve">(MUJER_RE223132</w:t>
      </w:r>
      <w:r>
        <w:rPr>
          <w:rStyle w:val="OperatorTok"/>
        </w:rPr>
        <w:t xml:space="preserve">$</w:t>
      </w:r>
      <w:r>
        <w:rPr>
          <w:rStyle w:val="NormalTok"/>
        </w:rPr>
        <w:t xml:space="preserve">CASEID,</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MUJER_RE223132</w:t>
      </w:r>
      <w:r>
        <w:rPr>
          <w:rStyle w:val="OperatorTok"/>
        </w:rPr>
        <w:t xml:space="preserve">$</w:t>
      </w:r>
      <w:r>
        <w:rPr>
          <w:rStyle w:val="NormalTok"/>
        </w:rPr>
        <w:t xml:space="preserve">QSNUMERO &lt;-</w:t>
      </w:r>
      <w:r>
        <w:rPr>
          <w:rStyle w:val="StringTok"/>
        </w:rPr>
        <w:t xml:space="preserve"> </w:t>
      </w:r>
      <w:r>
        <w:rPr>
          <w:rStyle w:val="KeywordTok"/>
        </w:rPr>
        <w:t xml:space="preserve">as.numeric</w:t>
      </w:r>
      <w:r>
        <w:rPr>
          <w:rStyle w:val="NormalTok"/>
        </w:rPr>
        <w:t xml:space="preserve">(MUJER_RE223132</w:t>
      </w:r>
      <w:r>
        <w:rPr>
          <w:rStyle w:val="OperatorTok"/>
        </w:rPr>
        <w:t xml:space="preserve">$</w:t>
      </w:r>
      <w:r>
        <w:rPr>
          <w:rStyle w:val="NormalTok"/>
        </w:rPr>
        <w:t xml:space="preserve">QSNUMERO)</w:t>
      </w:r>
    </w:p>
    <w:p>
      <w:pPr>
        <w:pStyle w:val="FirstParagraph"/>
      </w:pPr>
      <w:r>
        <w:t xml:space="preserve">De la misma forma, en</w:t>
      </w:r>
      <w:r>
        <w:t xml:space="preserve"> </w:t>
      </w:r>
      <w:r>
        <w:rPr>
          <w:b/>
        </w:rPr>
        <w:t xml:space="preserve">MUJER_REC42</w:t>
      </w:r>
      <w:r>
        <w:t xml:space="preserve"> </w:t>
      </w:r>
      <w:r>
        <w:t xml:space="preserve">creamos</w:t>
      </w:r>
      <w:r>
        <w:t xml:space="preserve"> </w:t>
      </w:r>
      <w:r>
        <w:rPr>
          <w:i/>
        </w:rPr>
        <w:t xml:space="preserve">HHID</w:t>
      </w:r>
      <w:r>
        <w:t xml:space="preserve"> </w:t>
      </w:r>
      <w:r>
        <w:t xml:space="preserve">y</w:t>
      </w:r>
      <w:r>
        <w:t xml:space="preserve"> </w:t>
      </w:r>
      <w:r>
        <w:rPr>
          <w:i/>
        </w:rPr>
        <w:t xml:space="preserve">QSNUMERO</w:t>
      </w:r>
      <w:r>
        <w:t xml:space="preserve"> </w:t>
      </w:r>
      <w:r>
        <w:t xml:space="preserve">para poder facilitar la unión de las bases posteriormente:</w:t>
      </w:r>
    </w:p>
    <w:p>
      <w:pPr>
        <w:pStyle w:val="SourceCode"/>
      </w:pPr>
      <w:r>
        <w:rPr>
          <w:rStyle w:val="NormalTok"/>
        </w:rPr>
        <w:t xml:space="preserve">MUJER_REC42</w:t>
      </w:r>
      <w:r>
        <w:rPr>
          <w:rStyle w:val="OperatorTok"/>
        </w:rPr>
        <w:t xml:space="preserve">$</w:t>
      </w:r>
      <w:r>
        <w:rPr>
          <w:rStyle w:val="NormalTok"/>
        </w:rPr>
        <w:t xml:space="preserve">HHID &lt;-</w:t>
      </w:r>
      <w:r>
        <w:rPr>
          <w:rStyle w:val="StringTok"/>
        </w:rPr>
        <w:t xml:space="preserve"> </w:t>
      </w:r>
      <w:r>
        <w:rPr>
          <w:rStyle w:val="KeywordTok"/>
        </w:rPr>
        <w:t xml:space="preserve">str_sub</w:t>
      </w:r>
      <w:r>
        <w:rPr>
          <w:rStyle w:val="NormalTok"/>
        </w:rPr>
        <w:t xml:space="preserve">(MUJER_REC42</w:t>
      </w:r>
      <w:r>
        <w:rPr>
          <w:rStyle w:val="OperatorTok"/>
        </w:rPr>
        <w:t xml:space="preserve">$</w:t>
      </w:r>
      <w:r>
        <w:rPr>
          <w:rStyle w:val="NormalTok"/>
        </w:rPr>
        <w:t xml:space="preserve">CASEID,</w:t>
      </w:r>
      <w:r>
        <w:rPr>
          <w:rStyle w:val="DecValTok"/>
        </w:rPr>
        <w:t xml:space="preserve">1</w:t>
      </w:r>
      <w:r>
        <w:rPr>
          <w:rStyle w:val="NormalTok"/>
        </w:rPr>
        <w:t xml:space="preserve">,(</w:t>
      </w:r>
      <w:r>
        <w:rPr>
          <w:rStyle w:val="KeywordTok"/>
        </w:rPr>
        <w:t xml:space="preserve">str_length</w:t>
      </w:r>
      <w:r>
        <w:rPr>
          <w:rStyle w:val="NormalTok"/>
        </w:rPr>
        <w:t xml:space="preserve">(MUJER_REC42</w:t>
      </w:r>
      <w:r>
        <w:rPr>
          <w:rStyle w:val="OperatorTok"/>
        </w:rPr>
        <w:t xml:space="preserve">$</w:t>
      </w:r>
      <w:r>
        <w:rPr>
          <w:rStyle w:val="NormalTok"/>
        </w:rPr>
        <w:t xml:space="preserve">CASEID)</w:t>
      </w:r>
      <w:r>
        <w:rPr>
          <w:rStyle w:val="OperatorTok"/>
        </w:rPr>
        <w:t xml:space="preserve">-</w:t>
      </w:r>
      <w:r>
        <w:rPr>
          <w:rStyle w:val="DecValTok"/>
        </w:rPr>
        <w:t xml:space="preserve">3</w:t>
      </w:r>
      <w:r>
        <w:rPr>
          <w:rStyle w:val="NormalTok"/>
        </w:rPr>
        <w:t xml:space="preserve">))</w:t>
      </w:r>
      <w:r>
        <w:br w:type="textWrapping"/>
      </w:r>
      <w:r>
        <w:rPr>
          <w:rStyle w:val="NormalTok"/>
        </w:rPr>
        <w:t xml:space="preserve">MUJER_REC42</w:t>
      </w:r>
      <w:r>
        <w:rPr>
          <w:rStyle w:val="OperatorTok"/>
        </w:rPr>
        <w:t xml:space="preserve">$</w:t>
      </w:r>
      <w:r>
        <w:rPr>
          <w:rStyle w:val="NormalTok"/>
        </w:rPr>
        <w:t xml:space="preserve">QSNUMERO &lt;-</w:t>
      </w:r>
      <w:r>
        <w:rPr>
          <w:rStyle w:val="StringTok"/>
        </w:rPr>
        <w:t xml:space="preserve"> </w:t>
      </w:r>
      <w:r>
        <w:rPr>
          <w:rStyle w:val="KeywordTok"/>
        </w:rPr>
        <w:t xml:space="preserve">str_sub</w:t>
      </w:r>
      <w:r>
        <w:rPr>
          <w:rStyle w:val="NormalTok"/>
        </w:rPr>
        <w:t xml:space="preserve">(MUJER_REC42</w:t>
      </w:r>
      <w:r>
        <w:rPr>
          <w:rStyle w:val="OperatorTok"/>
        </w:rPr>
        <w:t xml:space="preserve">$</w:t>
      </w:r>
      <w:r>
        <w:rPr>
          <w:rStyle w:val="NormalTok"/>
        </w:rPr>
        <w:t xml:space="preserve">CASEID,</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MUJER_REC42</w:t>
      </w:r>
      <w:r>
        <w:rPr>
          <w:rStyle w:val="OperatorTok"/>
        </w:rPr>
        <w:t xml:space="preserve">$</w:t>
      </w:r>
      <w:r>
        <w:rPr>
          <w:rStyle w:val="NormalTok"/>
        </w:rPr>
        <w:t xml:space="preserve">QSNUMERO &lt;-</w:t>
      </w:r>
      <w:r>
        <w:rPr>
          <w:rStyle w:val="StringTok"/>
        </w:rPr>
        <w:t xml:space="preserve"> </w:t>
      </w:r>
      <w:r>
        <w:rPr>
          <w:rStyle w:val="KeywordTok"/>
        </w:rPr>
        <w:t xml:space="preserve">as.numeric</w:t>
      </w:r>
      <w:r>
        <w:rPr>
          <w:rStyle w:val="NormalTok"/>
        </w:rPr>
        <w:t xml:space="preserve">(MUJER_REC42</w:t>
      </w:r>
      <w:r>
        <w:rPr>
          <w:rStyle w:val="OperatorTok"/>
        </w:rPr>
        <w:t xml:space="preserve">$</w:t>
      </w:r>
      <w:r>
        <w:rPr>
          <w:rStyle w:val="NormalTok"/>
        </w:rPr>
        <w:t xml:space="preserve">QSNUMERO)</w:t>
      </w:r>
    </w:p>
    <w:p>
      <w:pPr>
        <w:pStyle w:val="FirstParagraph"/>
      </w:pPr>
      <w:r>
        <w:t xml:space="preserve">En RECH1, la variable</w:t>
      </w:r>
      <w:r>
        <w:t xml:space="preserve"> </w:t>
      </w:r>
      <w:r>
        <w:rPr>
          <w:i/>
        </w:rPr>
        <w:t xml:space="preserve">HVIDX</w:t>
      </w:r>
      <w:r>
        <w:t xml:space="preserve"> </w:t>
      </w:r>
      <w:r>
        <w:t xml:space="preserve">es equivalente a</w:t>
      </w:r>
      <w:r>
        <w:t xml:space="preserve"> </w:t>
      </w:r>
      <w:r>
        <w:rPr>
          <w:i/>
        </w:rPr>
        <w:t xml:space="preserve">QSNUMERO</w:t>
      </w:r>
      <w:r>
        <w:t xml:space="preserve"> </w:t>
      </w:r>
      <w:r>
        <w:t xml:space="preserve">(el identificador de fila o individuo). Por eso, la renombramos con el siguiente comando:</w:t>
      </w:r>
    </w:p>
    <w:p>
      <w:pPr>
        <w:pStyle w:val="SourceCode"/>
      </w:pPr>
      <w:r>
        <w:rPr>
          <w:rStyle w:val="NormalTok"/>
        </w:rPr>
        <w:t xml:space="preserve">HOGAR_RECH1</w:t>
      </w:r>
      <w:r>
        <w:rPr>
          <w:rStyle w:val="OperatorTok"/>
        </w:rPr>
        <w:t xml:space="preserve">$</w:t>
      </w:r>
      <w:r>
        <w:rPr>
          <w:rStyle w:val="NormalTok"/>
        </w:rPr>
        <w:t xml:space="preserve">QSNUMERO &lt;-</w:t>
      </w:r>
      <w:r>
        <w:rPr>
          <w:rStyle w:val="StringTok"/>
        </w:rPr>
        <w:t xml:space="preserve"> </w:t>
      </w:r>
      <w:r>
        <w:rPr>
          <w:rStyle w:val="NormalTok"/>
        </w:rPr>
        <w:t xml:space="preserve">HOGAR_RECH1</w:t>
      </w:r>
      <w:r>
        <w:rPr>
          <w:rStyle w:val="OperatorTok"/>
        </w:rPr>
        <w:t xml:space="preserve">$</w:t>
      </w:r>
      <w:r>
        <w:rPr>
          <w:rStyle w:val="NormalTok"/>
        </w:rPr>
        <w:t xml:space="preserve">HVIDX</w:t>
      </w:r>
    </w:p>
    <w:p>
      <w:pPr>
        <w:pStyle w:val="Heading2"/>
      </w:pPr>
      <w:bookmarkStart w:id="28" w:name="union-de-datos"/>
      <w:bookmarkEnd w:id="28"/>
      <w:r>
        <w:t xml:space="preserve">4. Unión de Datos</w:t>
      </w:r>
    </w:p>
    <w:p>
      <w:pPr>
        <w:pStyle w:val="FirstParagraph"/>
      </w:pPr>
      <w:r>
        <w:t xml:space="preserve">Cada una de estas bases contiene campos necesarios para obtener la base final que nos permitirá calcular los indicadores de salud ideal cardiovascular. Para poder referenciar entre una base y otra existen identificadores (mencionados previamente) en las diferentes bases. Estos identificadores, según el nivel de desagregación de cada base permiter unirlas relacionalmente.</w:t>
      </w:r>
    </w:p>
    <w:p>
      <w:pPr>
        <w:pStyle w:val="BodyText"/>
      </w:pPr>
      <w:r>
        <w:t xml:space="preserve">Esta unión será realizada secuencialmente, creando bases intermedias, hasta conseguir una base de datos que englobe todas las variables requeridas.</w:t>
      </w:r>
    </w:p>
    <w:p>
      <w:pPr>
        <w:pStyle w:val="BodyText"/>
      </w:pPr>
      <w:r>
        <w:t xml:space="preserve">Empezamos juntando las bases HOGAR_RECH1 y CSALUD01 en la base intermediaria</w:t>
      </w:r>
      <w:r>
        <w:t xml:space="preserve"> </w:t>
      </w:r>
      <w:r>
        <w:rPr>
          <w:b/>
        </w:rPr>
        <w:t xml:space="preserve">BASE1</w:t>
      </w:r>
      <w:r>
        <w:t xml:space="preserve">. El comando utilizado es</w:t>
      </w:r>
      <w:r>
        <w:t xml:space="preserve"> </w:t>
      </w:r>
      <w:r>
        <w:rPr>
          <w:b/>
        </w:rPr>
        <w:t xml:space="preserve">join()</w:t>
      </w:r>
      <w:r>
        <w:t xml:space="preserve"> </w:t>
      </w:r>
      <w:r>
        <w:t xml:space="preserve">tomando como parametro muy importante el</w:t>
      </w:r>
      <w:r>
        <w:t xml:space="preserve"> </w:t>
      </w:r>
      <w:r>
        <w:t xml:space="preserve">‘</w:t>
      </w:r>
      <w:r>
        <w:rPr>
          <w:i/>
        </w:rPr>
        <w:t xml:space="preserve">Left Join</w:t>
      </w:r>
      <w:r>
        <w:t xml:space="preserve">’</w:t>
      </w:r>
      <w:r>
        <w:t xml:space="preserve"> </w:t>
      </w:r>
      <w:r>
        <w:t xml:space="preserve">[</w:t>
      </w:r>
      <w:hyperlink w:anchor="ref-wiki:join">
        <w:r>
          <w:rPr>
            <w:rStyle w:val="Hyperlink"/>
          </w:rPr>
          <w:t xml:space="preserve">3</w:t>
        </w:r>
      </w:hyperlink>
      <w:r>
        <w:t xml:space="preserve">]</w:t>
      </w:r>
      <w:r>
        <w:t xml:space="preserve">. Las variables enlace para la unión o join son tanto</w:t>
      </w:r>
      <w:r>
        <w:t xml:space="preserve"> </w:t>
      </w:r>
      <w:r>
        <w:rPr>
          <w:i/>
        </w:rPr>
        <w:t xml:space="preserve">HHID</w:t>
      </w:r>
      <w:r>
        <w:t xml:space="preserve"> </w:t>
      </w:r>
      <w:r>
        <w:t xml:space="preserve">como</w:t>
      </w:r>
      <w:r>
        <w:t xml:space="preserve"> </w:t>
      </w:r>
      <w:r>
        <w:rPr>
          <w:i/>
        </w:rPr>
        <w:t xml:space="preserve">QSNUMERO</w:t>
      </w:r>
      <w:r>
        <w:t xml:space="preserve">. Hacemos lo mismo con el resto de de bases hasta tener una</w:t>
      </w:r>
      <w:r>
        <w:t xml:space="preserve"> </w:t>
      </w:r>
      <w:r>
        <w:rPr>
          <w:b/>
        </w:rPr>
        <w:t xml:space="preserve">BASE5</w:t>
      </w:r>
      <w:r>
        <w:t xml:space="preserve">.</w:t>
      </w:r>
    </w:p>
    <w:p>
      <w:pPr>
        <w:pStyle w:val="SourceCode"/>
      </w:pPr>
      <w:r>
        <w:rPr>
          <w:rStyle w:val="NormalTok"/>
        </w:rPr>
        <w:t xml:space="preserve">BASE1 &lt;-</w:t>
      </w:r>
      <w:r>
        <w:rPr>
          <w:rStyle w:val="StringTok"/>
        </w:rPr>
        <w:t xml:space="preserve"> </w:t>
      </w:r>
      <w:r>
        <w:rPr>
          <w:rStyle w:val="KeywordTok"/>
        </w:rPr>
        <w:t xml:space="preserve">join</w:t>
      </w:r>
      <w:r>
        <w:rPr>
          <w:rStyle w:val="NormalTok"/>
        </w:rPr>
        <w:t xml:space="preserve">(HOGAR_RECH1, CSALUD01,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"HHID"</w:t>
      </w:r>
      <w:r>
        <w:rPr>
          <w:rStyle w:val="NormalTok"/>
        </w:rPr>
        <w:t xml:space="preserve">,</w:t>
      </w:r>
      <w:r>
        <w:rPr>
          <w:rStyle w:val="StringTok"/>
        </w:rPr>
        <w:t xml:space="preserve">"QSNUMERO"</w:t>
      </w:r>
      <w:r>
        <w:rPr>
          <w:rStyle w:val="NormalTok"/>
        </w:rPr>
        <w:t xml:space="preserve">),</w:t>
      </w:r>
      <w:r>
        <w:rPr>
          <w:rStyle w:val="DataTypeTok"/>
        </w:rPr>
        <w:t xml:space="preserve">type=</w:t>
      </w:r>
      <w:r>
        <w:rPr>
          <w:rStyle w:val="StringTok"/>
        </w:rPr>
        <w:t xml:space="preserve">"left"</w:t>
      </w:r>
      <w:r>
        <w:rPr>
          <w:rStyle w:val="NormalTok"/>
        </w:rPr>
        <w:t xml:space="preserve">)</w:t>
      </w:r>
      <w:r>
        <w:br w:type="textWrapping"/>
      </w:r>
      <w:r>
        <w:rPr>
          <w:rStyle w:val="NormalTok"/>
        </w:rPr>
        <w:t xml:space="preserve">BASE2 &lt;-</w:t>
      </w:r>
      <w:r>
        <w:rPr>
          <w:rStyle w:val="StringTok"/>
        </w:rPr>
        <w:t xml:space="preserve"> </w:t>
      </w:r>
      <w:r>
        <w:rPr>
          <w:rStyle w:val="KeywordTok"/>
        </w:rPr>
        <w:t xml:space="preserve">join</w:t>
      </w:r>
      <w:r>
        <w:rPr>
          <w:rStyle w:val="NormalTok"/>
        </w:rPr>
        <w:t xml:space="preserve">(MUJER_RE223132, MUJER_REC42,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"HHID"</w:t>
      </w:r>
      <w:r>
        <w:rPr>
          <w:rStyle w:val="NormalTok"/>
        </w:rPr>
        <w:t xml:space="preserve">, </w:t>
      </w:r>
      <w:r>
        <w:rPr>
          <w:rStyle w:val="StringTok"/>
        </w:rPr>
        <w:t xml:space="preserve">"QSNUMERO"</w:t>
      </w:r>
      <w:r>
        <w:rPr>
          <w:rStyle w:val="NormalTok"/>
        </w:rPr>
        <w:t xml:space="preserve">),</w:t>
      </w:r>
      <w:r>
        <w:rPr>
          <w:rStyle w:val="DataTypeTok"/>
        </w:rPr>
        <w:t xml:space="preserve">type=</w:t>
      </w:r>
      <w:r>
        <w:rPr>
          <w:rStyle w:val="StringTok"/>
        </w:rPr>
        <w:t xml:space="preserve">'left'</w:t>
      </w:r>
      <w:r>
        <w:rPr>
          <w:rStyle w:val="NormalTok"/>
        </w:rPr>
        <w:t xml:space="preserve">)</w:t>
      </w:r>
      <w:r>
        <w:br w:type="textWrapping"/>
      </w:r>
      <w:r>
        <w:rPr>
          <w:rStyle w:val="NormalTok"/>
        </w:rPr>
        <w:t xml:space="preserve">BASE3 &lt;-</w:t>
      </w:r>
      <w:r>
        <w:rPr>
          <w:rStyle w:val="StringTok"/>
        </w:rPr>
        <w:t xml:space="preserve"> </w:t>
      </w:r>
      <w:r>
        <w:rPr>
          <w:rStyle w:val="KeywordTok"/>
        </w:rPr>
        <w:t xml:space="preserve">join</w:t>
      </w:r>
      <w:r>
        <w:rPr>
          <w:rStyle w:val="NormalTok"/>
        </w:rPr>
        <w:t xml:space="preserve">(HOGAR_RECH0, VIVIENDA_RECH23, </w:t>
      </w:r>
      <w:r>
        <w:rPr>
          <w:rStyle w:val="DataTypeTok"/>
        </w:rPr>
        <w:t xml:space="preserve">by =</w:t>
      </w:r>
      <w:r>
        <w:rPr>
          <w:rStyle w:val="NormalTok"/>
        </w:rPr>
        <w:t xml:space="preserve"> </w:t>
      </w:r>
      <w:r>
        <w:rPr>
          <w:rStyle w:val="StringTok"/>
        </w:rPr>
        <w:t xml:space="preserve">"HHID"</w:t>
      </w:r>
      <w:r>
        <w:rPr>
          <w:rStyle w:val="NormalTok"/>
        </w:rPr>
        <w:t xml:space="preserve">,</w:t>
      </w:r>
      <w:r>
        <w:rPr>
          <w:rStyle w:val="DataTypeTok"/>
        </w:rPr>
        <w:t xml:space="preserve">type=</w:t>
      </w:r>
      <w:r>
        <w:rPr>
          <w:rStyle w:val="StringTok"/>
        </w:rPr>
        <w:t xml:space="preserve">'left'</w:t>
      </w:r>
      <w:r>
        <w:rPr>
          <w:rStyle w:val="NormalTok"/>
        </w:rPr>
        <w:t xml:space="preserve">)</w:t>
      </w:r>
      <w:r>
        <w:br w:type="textWrapping"/>
      </w:r>
      <w:r>
        <w:rPr>
          <w:rStyle w:val="NormalTok"/>
        </w:rPr>
        <w:t xml:space="preserve">BASE4 &lt;-</w:t>
      </w:r>
      <w:r>
        <w:rPr>
          <w:rStyle w:val="StringTok"/>
        </w:rPr>
        <w:t xml:space="preserve"> </w:t>
      </w:r>
      <w:r>
        <w:rPr>
          <w:rStyle w:val="KeywordTok"/>
        </w:rPr>
        <w:t xml:space="preserve">join</w:t>
      </w:r>
      <w:r>
        <w:rPr>
          <w:rStyle w:val="NormalTok"/>
        </w:rPr>
        <w:t xml:space="preserve">(BASE1,BASE2,</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"HHID"</w:t>
      </w:r>
      <w:r>
        <w:rPr>
          <w:rStyle w:val="NormalTok"/>
        </w:rPr>
        <w:t xml:space="preserve">,</w:t>
      </w:r>
      <w:r>
        <w:rPr>
          <w:rStyle w:val="StringTok"/>
        </w:rPr>
        <w:t xml:space="preserve">"QSNUMERO"</w:t>
      </w:r>
      <w:r>
        <w:rPr>
          <w:rStyle w:val="NormalTok"/>
        </w:rPr>
        <w:t xml:space="preserve">),</w:t>
      </w:r>
      <w:r>
        <w:rPr>
          <w:rStyle w:val="DataTypeTok"/>
        </w:rPr>
        <w:t xml:space="preserve">type=</w:t>
      </w:r>
      <w:r>
        <w:rPr>
          <w:rStyle w:val="StringTok"/>
        </w:rPr>
        <w:t xml:space="preserve">'left'</w:t>
      </w:r>
      <w:r>
        <w:rPr>
          <w:rStyle w:val="NormalTok"/>
        </w:rPr>
        <w:t xml:space="preserve">)</w:t>
      </w:r>
      <w:r>
        <w:br w:type="textWrapping"/>
      </w:r>
      <w:r>
        <w:rPr>
          <w:rStyle w:val="NormalTok"/>
        </w:rPr>
        <w:t xml:space="preserve">BASE5 &lt;-</w:t>
      </w:r>
      <w:r>
        <w:rPr>
          <w:rStyle w:val="StringTok"/>
        </w:rPr>
        <w:t xml:space="preserve"> </w:t>
      </w:r>
      <w:r>
        <w:rPr>
          <w:rStyle w:val="KeywordTok"/>
        </w:rPr>
        <w:t xml:space="preserve">join</w:t>
      </w:r>
      <w:r>
        <w:rPr>
          <w:rStyle w:val="NormalTok"/>
        </w:rPr>
        <w:t xml:space="preserve">(BASE3,BASE4,</w:t>
      </w:r>
      <w:r>
        <w:rPr>
          <w:rStyle w:val="DataTypeTok"/>
        </w:rPr>
        <w:t xml:space="preserve">by =</w:t>
      </w:r>
      <w:r>
        <w:rPr>
          <w:rStyle w:val="NormalTok"/>
        </w:rPr>
        <w:t xml:space="preserve"> </w:t>
      </w:r>
      <w:r>
        <w:rPr>
          <w:rStyle w:val="StringTok"/>
        </w:rPr>
        <w:t xml:space="preserve">'HHID'</w:t>
      </w:r>
      <w:r>
        <w:rPr>
          <w:rStyle w:val="NormalTok"/>
        </w:rPr>
        <w:t xml:space="preserve">, </w:t>
      </w:r>
      <w:r>
        <w:rPr>
          <w:rStyle w:val="DataTypeTok"/>
        </w:rPr>
        <w:t xml:space="preserve">type =</w:t>
      </w:r>
      <w:r>
        <w:rPr>
          <w:rStyle w:val="NormalTok"/>
        </w:rPr>
        <w:t xml:space="preserve"> </w:t>
      </w:r>
      <w:r>
        <w:rPr>
          <w:rStyle w:val="StringTok"/>
        </w:rPr>
        <w:t xml:space="preserve">'left'</w:t>
      </w:r>
      <w:r>
        <w:rPr>
          <w:rStyle w:val="NormalTok"/>
        </w:rPr>
        <w:t xml:space="preserve">)</w:t>
      </w:r>
    </w:p>
    <w:p>
      <w:pPr>
        <w:pStyle w:val="Heading2"/>
      </w:pPr>
      <w:bookmarkStart w:id="29" w:name="aplicacion-de-los-filtros"/>
      <w:bookmarkEnd w:id="29"/>
      <w:r>
        <w:t xml:space="preserve">5. Aplicación de los filtros</w:t>
      </w:r>
    </w:p>
    <w:p>
      <w:pPr>
        <w:pStyle w:val="FirstParagraph"/>
      </w:pPr>
      <w:r>
        <w:t xml:space="preserve">Podemos corroborar cuantas observaciones tiene nuestra</w:t>
      </w:r>
      <w:r>
        <w:t xml:space="preserve"> </w:t>
      </w:r>
      <w:r>
        <w:rPr>
          <w:b/>
        </w:rPr>
        <w:t xml:space="preserve">BASE5</w:t>
      </w:r>
      <w:r>
        <w:t xml:space="preserve">.</w:t>
      </w:r>
    </w:p>
    <w:p>
      <w:pPr>
        <w:pStyle w:val="SourceCode"/>
      </w:pPr>
      <w:r>
        <w:rPr>
          <w:rStyle w:val="KeywordTok"/>
        </w:rPr>
        <w:t xml:space="preserve">nrow</w:t>
      </w:r>
      <w:r>
        <w:rPr>
          <w:rStyle w:val="NormalTok"/>
        </w:rPr>
        <w:t xml:space="preserve">(BASE5)</w:t>
      </w:r>
    </w:p>
    <w:p>
      <w:pPr>
        <w:pStyle w:val="SourceCode"/>
      </w:pPr>
      <w:r>
        <w:rPr>
          <w:rStyle w:val="VerbatimChar"/>
        </w:rPr>
        <w:t xml:space="preserve">## [1] 143094</w:t>
      </w:r>
    </w:p>
    <w:p>
      <w:pPr>
        <w:pStyle w:val="FirstParagraph"/>
      </w:pPr>
      <w:r>
        <w:t xml:space="preserve">Ahora es momento de aplicar los filtros necesario para quedarnos solamente con los sujetos necesarios para el análisis. En primer lugar descartamos a todas las gestantes (</w:t>
      </w:r>
      <w:r>
        <w:rPr>
          <w:b/>
        </w:rPr>
        <w:t xml:space="preserve">V213</w:t>
      </w:r>
      <w:r>
        <w:t xml:space="preserve">) y luego filtramos a solamente los informantes cuya información haya sido reportada como completa (</w:t>
      </w:r>
      <w:r>
        <w:rPr>
          <w:b/>
        </w:rPr>
        <w:t xml:space="preserve">QSRESINF</w:t>
      </w:r>
      <w:r>
        <w:t xml:space="preserve">).</w:t>
      </w:r>
    </w:p>
    <w:p>
      <w:pPr>
        <w:pStyle w:val="SourceCode"/>
      </w:pPr>
      <w:r>
        <w:rPr>
          <w:rStyle w:val="NormalTok"/>
        </w:rPr>
        <w:t xml:space="preserve">BASE_FINAL &lt;-</w:t>
      </w:r>
      <w:r>
        <w:rPr>
          <w:rStyle w:val="StringTok"/>
        </w:rPr>
        <w:t xml:space="preserve"> </w:t>
      </w:r>
      <w:r>
        <w:rPr>
          <w:rStyle w:val="KeywordTok"/>
        </w:rPr>
        <w:t xml:space="preserve">filter</w:t>
      </w:r>
      <w:r>
        <w:rPr>
          <w:rStyle w:val="NormalTok"/>
        </w:rPr>
        <w:t xml:space="preserve">(BASE5,V213</w:t>
      </w:r>
      <w:r>
        <w:rPr>
          <w:rStyle w:val="OperatorTok"/>
        </w:rPr>
        <w:t xml:space="preserve">!=</w:t>
      </w:r>
      <w:r>
        <w:rPr>
          <w:rStyle w:val="StringTok"/>
        </w:rPr>
        <w:t xml:space="preserve">"Yes"</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(V213))</w:t>
      </w:r>
      <w:r>
        <w:br w:type="textWrapping"/>
      </w:r>
      <w:r>
        <w:rPr>
          <w:rStyle w:val="NormalTok"/>
        </w:rPr>
        <w:t xml:space="preserve">BASE_FINAL &lt;-</w:t>
      </w:r>
      <w:r>
        <w:rPr>
          <w:rStyle w:val="StringTok"/>
        </w:rPr>
        <w:t xml:space="preserve"> </w:t>
      </w:r>
      <w:r>
        <w:rPr>
          <w:rStyle w:val="KeywordTok"/>
        </w:rPr>
        <w:t xml:space="preserve">filter</w:t>
      </w:r>
      <w:r>
        <w:rPr>
          <w:rStyle w:val="NormalTok"/>
        </w:rPr>
        <w:t xml:space="preserve">(BASE_FINAL,QSRESINF </w:t>
      </w:r>
      <w:r>
        <w:rPr>
          <w:rStyle w:val="OperatorTok"/>
        </w:rPr>
        <w:t xml:space="preserve">==</w:t>
      </w:r>
      <w:r>
        <w:rPr>
          <w:rStyle w:val="StringTok"/>
        </w:rPr>
        <w:t xml:space="preserve"> "Iniciar entrevista"</w:t>
      </w:r>
      <w:r>
        <w:rPr>
          <w:rStyle w:val="NormalTok"/>
        </w:rPr>
        <w:t xml:space="preserve">)</w:t>
      </w:r>
    </w:p>
    <w:p>
      <w:pPr>
        <w:pStyle w:val="FirstParagraph"/>
      </w:pPr>
      <w:r>
        <w:t xml:space="preserve">La población final que tiene nuestra</w:t>
      </w:r>
      <w:r>
        <w:t xml:space="preserve"> </w:t>
      </w:r>
      <w:r>
        <w:rPr>
          <w:b/>
        </w:rPr>
        <w:t xml:space="preserve">BASE_FINAL</w:t>
      </w:r>
      <w:r>
        <w:t xml:space="preserve"> </w:t>
      </w:r>
      <w:r>
        <w:t xml:space="preserve">es de:</w:t>
      </w:r>
    </w:p>
    <w:p>
      <w:pPr>
        <w:pStyle w:val="SourceCode"/>
      </w:pPr>
      <w:r>
        <w:rPr>
          <w:rStyle w:val="KeywordTok"/>
        </w:rPr>
        <w:t xml:space="preserve">nrow</w:t>
      </w:r>
      <w:r>
        <w:rPr>
          <w:rStyle w:val="NormalTok"/>
        </w:rPr>
        <w:t xml:space="preserve">(BASE_FINAL)</w:t>
      </w:r>
    </w:p>
    <w:p>
      <w:pPr>
        <w:pStyle w:val="SourceCode"/>
      </w:pPr>
      <w:r>
        <w:rPr>
          <w:rStyle w:val="VerbatimChar"/>
        </w:rPr>
        <w:t xml:space="preserve">## [1] 32514</w:t>
      </w:r>
    </w:p>
    <w:p>
      <w:pPr>
        <w:pStyle w:val="FirstParagraph"/>
      </w:pPr>
      <w:r>
        <w:t xml:space="preserve">Borramos los objetos creados que ya no utilizaremos para el análisis.</w:t>
      </w:r>
    </w:p>
    <w:p>
      <w:pPr>
        <w:pStyle w:val="SourceCode"/>
      </w:pPr>
      <w:r>
        <w:rPr>
          <w:rStyle w:val="KeywordTok"/>
        </w:rPr>
        <w:t xml:space="preserve">rm</w:t>
      </w:r>
      <w:r>
        <w:rPr>
          <w:rStyle w:val="NormalTok"/>
        </w:rPr>
        <w:t xml:space="preserve">(CSALUD01,BASE1,BASE2,BASE3,BASE4,BASE5,HOGAR_RECH1,HOGAR_RECH0,VIVIENDA_RECH23,MUJER_REC42,MUJER_RE223132)</w:t>
      </w:r>
    </w:p>
    <w:p>
      <w:pPr>
        <w:pStyle w:val="Heading2"/>
      </w:pPr>
      <w:bookmarkStart w:id="30" w:name="creacion-de-variables-para-salud-cardiovascular"/>
      <w:bookmarkEnd w:id="30"/>
      <w:r>
        <w:t xml:space="preserve">6. Creación de Variables para Salud Cardiovascular</w:t>
      </w:r>
    </w:p>
    <w:p>
      <w:pPr>
        <w:pStyle w:val="Heading1"/>
      </w:pPr>
      <w:bookmarkStart w:id="31" w:name="bibliografia"/>
      <w:bookmarkEnd w:id="31"/>
      <w:r>
        <w:t xml:space="preserve">Bibliografía</w:t>
      </w:r>
    </w:p>
    <w:p>
      <w:pPr>
        <w:pStyle w:val="Bibliography"/>
      </w:pPr>
      <w:r>
        <w:t xml:space="preserve">[1] American Heart Association. 2017 statistical fact sheet: Cardiovascular health. 2017.</w:t>
      </w:r>
    </w:p>
    <w:p>
      <w:pPr>
        <w:pStyle w:val="Bibliography"/>
      </w:pPr>
      <w:r>
        <w:t xml:space="preserve">[2] Wickham H, Grolemund G. R for data science: Import, tidy, transform, visualize, and model data. “ O’Reilly Media, Inc.” 2016.</w:t>
      </w:r>
    </w:p>
    <w:p>
      <w:pPr>
        <w:pStyle w:val="Bibliography"/>
      </w:pPr>
      <w:r>
        <w:t xml:space="preserve">[3] Wikipedia. Join — wikipedia, la enciclopedia libre 2018.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0681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4" Target="http://iinei.inei.gob.pe/microdatos/Consulta_por_Encuesta.asp" TargetMode="External" /></Relationships>
</file>

<file path=word/_rels/footnotes.xml.rels><?xml version="1.0" encoding="UTF-8"?>
<Relationships xmlns="http://schemas.openxmlformats.org/package/2006/relationships"><Relationship Type="http://schemas.openxmlformats.org/officeDocument/2006/relationships/hyperlink" Id="rId24" Target="http://iinei.inei.gob.pe/microdatos/Consulta_por_Encuesta.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ENDES 2017 en R: análisis de salud cardiovascular ideal</dc:title>
  <dc:creator>Akram Hernández, Horacio Chacón</dc:creator>
  <dcterms:created xsi:type="dcterms:W3CDTF">2018-09-16T06:51:07Z</dcterms:created>
  <dcterms:modified xsi:type="dcterms:W3CDTF">2018-09-16T06:51:07Z</dcterms:modified>
</cp:coreProperties>
</file>