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3A5F"/>
        </w:rPr>
        <w:t>Briefing — Radar João</w:t>
      </w:r>
    </w:p>
    <w:p>
      <w:r>
        <w:rPr>
          <w:rFonts w:ascii="Arial" w:hAnsi="Arial"/>
          <w:i/>
          <w:sz w:val="26"/>
        </w:rPr>
        <w:t>Sistema de inteligência comercial automatizada — Villa Empreendimentos</w:t>
      </w:r>
    </w:p>
    <w:p>
      <w:r>
        <w:rPr>
          <w:rFonts w:ascii="Arial" w:hAnsi="Arial"/>
          <w:color w:val="666666"/>
          <w:sz w:val="20"/>
        </w:rPr>
        <w:t>Atualizado em: 07/07/2026</w:t>
      </w:r>
    </w:p>
    <w:p/>
    <w:p>
      <w:pPr>
        <w:pStyle w:val="Heading1"/>
      </w:pPr>
      <w:r>
        <w:rPr>
          <w:rFonts w:ascii="Arial" w:hAnsi="Arial"/>
          <w:color w:val="1F3A5F"/>
        </w:rPr>
        <w:t>1. O que é o João IA</w:t>
      </w:r>
    </w:p>
    <w:p>
      <w:r>
        <w:rPr>
          <w:rFonts w:ascii="Arial" w:hAnsi="Arial"/>
          <w:b w:val="0"/>
          <w:i w:val="0"/>
          <w:sz w:val="22"/>
        </w:rPr>
        <w:t>João é o agente de inteligência comercial (hunter) da Villa Empreendimentos. Sua função é varrer o Brasil inteiro em busca de obras, movimentações corporativas e contatos que gerem oportunidades de venda/locação de equipamentos de concretagem (bomba lança, bomba estacionária, betoneira, Telebelt, central de concreto in loco). João nunca informa preços — sempre direciona para a equipe comercial.</w:t>
      </w:r>
    </w:p>
    <w:p>
      <w:r>
        <w:rPr>
          <w:rFonts w:ascii="Arial" w:hAnsi="Arial"/>
          <w:b w:val="0"/>
          <w:i w:val="0"/>
          <w:sz w:val="22"/>
        </w:rPr>
        <w:t>O sistema roda hoje em duas tarefas agendadas independentes, descritas abaixo.</w:t>
      </w:r>
    </w:p>
    <w:p/>
    <w:p>
      <w:pPr>
        <w:pStyle w:val="Heading1"/>
      </w:pPr>
      <w:r>
        <w:rPr>
          <w:rFonts w:ascii="Arial" w:hAnsi="Arial"/>
          <w:color w:val="1F3A5F"/>
        </w:rPr>
        <w:t>2. Radar Semanal de Obras</w:t>
      </w:r>
    </w:p>
    <w:p>
      <w:r>
        <w:rPr>
          <w:rFonts w:ascii="Arial" w:hAnsi="Arial"/>
          <w:b/>
          <w:i w:val="0"/>
          <w:sz w:val="22"/>
        </w:rPr>
        <w:t xml:space="preserve">Tarefa: </w:t>
      </w:r>
      <w:r>
        <w:rPr>
          <w:i/>
        </w:rPr>
        <w:t>radar-joao-segunda-feira</w:t>
      </w:r>
    </w:p>
    <w:p>
      <w:r>
        <w:rPr>
          <w:rFonts w:ascii="Arial" w:hAnsi="Arial"/>
          <w:b w:val="0"/>
          <w:i w:val="0"/>
          <w:sz w:val="22"/>
        </w:rPr>
        <w:t>Frequência: toda segunda-feira às 08:03.</w:t>
      </w:r>
    </w:p>
    <w:p>
      <w:r>
        <w:rPr>
          <w:rFonts w:ascii="Arial" w:hAnsi="Arial"/>
          <w:b w:val="0"/>
          <w:i w:val="0"/>
          <w:sz w:val="22"/>
        </w:rPr>
        <w:t>Fontes: PNCP, buscas web setoriais, sites institucionais, diários oficiais, ANTT/ANTAQ/ANEEL/DNIT/EPE/ONS, ministérios, governos estaduais, prefeituras, compras.gov.br, imprensa especializada (Agência Infra, O Empreiteiro, Grandes Construções, Construção Mercado, Portos e Navios, Revista Ferroviária).</w:t>
      </w:r>
    </w:p>
    <w:p>
      <w:pPr>
        <w:pStyle w:val="Heading2"/>
      </w:pPr>
      <w:r>
        <w:rPr>
          <w:rFonts w:ascii="Arial" w:hAnsi="Arial"/>
          <w:color w:val="2E5C8A"/>
        </w:rPr>
        <w:t>2.1 Os 4 pilares</w:t>
      </w:r>
    </w:p>
    <w:p>
      <w:pPr>
        <w:pStyle w:val="ListBullet"/>
      </w:pPr>
      <w:r>
        <w:rPr>
          <w:rFonts w:ascii="Arial" w:hAnsi="Arial"/>
          <w:sz w:val="22"/>
        </w:rPr>
        <w:t>Pilar 1 — Obras: obras públicas e privadas com potencial de consumo de concreto (rodovias, ferrovias, portos, aeroportos, data centers, energia, saneamento, condomínios logísticos etc.).</w:t>
      </w:r>
    </w:p>
    <w:p>
      <w:pPr>
        <w:pStyle w:val="ListBullet"/>
      </w:pPr>
      <w:r>
        <w:rPr>
          <w:rFonts w:ascii="Arial" w:hAnsi="Arial"/>
          <w:sz w:val="22"/>
        </w:rPr>
        <w:t>Pilar 2 — Empresas: movimentações corporativas (abertura de filial, nova unidade, expansão regional).</w:t>
      </w:r>
    </w:p>
    <w:p>
      <w:pPr>
        <w:pStyle w:val="ListBullet"/>
      </w:pPr>
      <w:r>
        <w:rPr>
          <w:rFonts w:ascii="Arial" w:hAnsi="Arial"/>
          <w:sz w:val="22"/>
        </w:rPr>
        <w:t>Pilar 3 — Movimentações estratégicas: sinais financeiros que antecipam obras (debêntures, compra de terrenos, concessões, aquisições).</w:t>
      </w:r>
    </w:p>
    <w:p>
      <w:pPr>
        <w:pStyle w:val="ListBullet"/>
      </w:pPr>
      <w:r>
        <w:rPr>
          <w:rFonts w:ascii="Arial" w:hAnsi="Arial"/>
          <w:sz w:val="22"/>
        </w:rPr>
        <w:t>Pilar 4 — Pessoas: mudanças de cargo de decisores (diretores de obras/engenharia, gerentes de equipamentos/suprimentos).</w:t>
      </w:r>
    </w:p>
    <w:p>
      <w:pPr>
        <w:pStyle w:val="Heading2"/>
      </w:pPr>
      <w:r>
        <w:rPr>
          <w:rFonts w:ascii="Arial" w:hAnsi="Arial"/>
          <w:color w:val="2E5C8A"/>
        </w:rPr>
        <w:t>2.2 Segmentos setoriais ampliados (dentro do Pilar 1)</w:t>
      </w:r>
    </w:p>
    <w:p>
      <w:r>
        <w:rPr>
          <w:rFonts w:ascii="Arial" w:hAnsi="Arial"/>
          <w:b w:val="0"/>
          <w:i w:val="0"/>
          <w:sz w:val="22"/>
        </w:rPr>
        <w:t>Acrescentados nesta rodada de atualizações, cobrindo 14 segmentos verticais, cada um com empresas/órgãos de referência nomeados:</w:t>
      </w:r>
    </w:p>
    <w:p>
      <w:pPr>
        <w:pStyle w:val="ListBullet"/>
      </w:pPr>
      <w:r>
        <w:rPr>
          <w:rFonts w:ascii="Arial" w:hAnsi="Arial"/>
          <w:sz w:val="22"/>
        </w:rPr>
        <w:t>1. Grandes construtoras (ranking O Empreiteiro / INTEC, top 50 rotativo)</w:t>
      </w:r>
    </w:p>
    <w:p>
      <w:pPr>
        <w:pStyle w:val="ListBullet"/>
      </w:pPr>
      <w:r>
        <w:rPr>
          <w:rFonts w:ascii="Arial" w:hAnsi="Arial"/>
          <w:sz w:val="22"/>
        </w:rPr>
        <w:t>2. Rodovias (DNIT, DERs, governos estaduais, Ministério dos Transportes)</w:t>
      </w:r>
    </w:p>
    <w:p>
      <w:pPr>
        <w:pStyle w:val="ListBullet"/>
      </w:pPr>
      <w:r>
        <w:rPr>
          <w:rFonts w:ascii="Arial" w:hAnsi="Arial"/>
          <w:sz w:val="22"/>
        </w:rPr>
        <w:t>3. Ferrovias (Transnordestina, FIOL, FICO, Norte-Sul, Ferrogrão, Rumo, MRS, VLI, Vale, ANTT)</w:t>
      </w:r>
    </w:p>
    <w:p>
      <w:pPr>
        <w:pStyle w:val="ListBullet"/>
      </w:pPr>
      <w:r>
        <w:rPr>
          <w:rFonts w:ascii="Arial" w:hAnsi="Arial"/>
          <w:sz w:val="22"/>
        </w:rPr>
        <w:t>4. Portos (Santos, Suape, Pecém, Itaqui, CODEBA, CDP, ANTAQ)</w:t>
      </w:r>
    </w:p>
    <w:p>
      <w:pPr>
        <w:pStyle w:val="ListBullet"/>
      </w:pPr>
      <w:r>
        <w:rPr>
          <w:rFonts w:ascii="Arial" w:hAnsi="Arial"/>
          <w:sz w:val="22"/>
        </w:rPr>
        <w:t>5. Aeroportos (Infraero, concessionárias)</w:t>
      </w:r>
    </w:p>
    <w:p>
      <w:pPr>
        <w:pStyle w:val="ListBullet"/>
      </w:pPr>
      <w:r>
        <w:rPr>
          <w:rFonts w:ascii="Arial" w:hAnsi="Arial"/>
          <w:sz w:val="22"/>
        </w:rPr>
        <w:t>6. Mineração (ferro, ouro, cobre/níquel, lítio/nióbio/terras raras)</w:t>
      </w:r>
    </w:p>
    <w:p>
      <w:pPr>
        <w:pStyle w:val="ListBullet"/>
      </w:pPr>
      <w:r>
        <w:rPr>
          <w:rFonts w:ascii="Arial" w:hAnsi="Arial"/>
          <w:sz w:val="22"/>
        </w:rPr>
        <w:t>7. Celulose e papel (Suzano, Klabin, Bracell, CMPC, Eldorado, Veracel)</w:t>
      </w:r>
    </w:p>
    <w:p>
      <w:pPr>
        <w:pStyle w:val="ListBullet"/>
      </w:pPr>
      <w:r>
        <w:rPr>
          <w:rFonts w:ascii="Arial" w:hAnsi="Arial"/>
          <w:sz w:val="22"/>
        </w:rPr>
        <w:t>8. Energia (hidrelétricas, PCHs, CGHs, termelétricas, eólica, solar, transmissão, subestações)</w:t>
      </w:r>
    </w:p>
    <w:p>
      <w:pPr>
        <w:pStyle w:val="ListBullet"/>
      </w:pPr>
      <w:r>
        <w:rPr>
          <w:rFonts w:ascii="Arial" w:hAnsi="Arial"/>
          <w:sz w:val="22"/>
        </w:rPr>
        <w:t>9. Saneamento (Sabesp, Compesa, Aegea, Iguá, BRK, Corsan, Sanepar)</w:t>
      </w:r>
    </w:p>
    <w:p>
      <w:pPr>
        <w:pStyle w:val="ListBullet"/>
      </w:pPr>
      <w:r>
        <w:rPr>
          <w:rFonts w:ascii="Arial" w:hAnsi="Arial"/>
          <w:sz w:val="22"/>
        </w:rPr>
        <w:t>10. Óleo e gás (Petrobras, Brava Energia, Shell, Equinor, TotalEnergies)</w:t>
      </w:r>
    </w:p>
    <w:p>
      <w:pPr>
        <w:pStyle w:val="ListBullet"/>
      </w:pPr>
      <w:r>
        <w:rPr>
          <w:rFonts w:ascii="Arial" w:hAnsi="Arial"/>
          <w:sz w:val="22"/>
        </w:rPr>
        <w:t>11. Data centers (Scala, Ascenty, ODATA, Equinix, Google, Microsoft, Amazon, Oracle)</w:t>
      </w:r>
    </w:p>
    <w:p>
      <w:pPr>
        <w:pStyle w:val="ListBullet"/>
      </w:pPr>
      <w:r>
        <w:rPr>
          <w:rFonts w:ascii="Arial" w:hAnsi="Arial"/>
          <w:sz w:val="22"/>
        </w:rPr>
        <w:t>12. Siderurgia e cimento (Gerdau, ArcelorMittal, CSN, Votorantim Cimentos, InterCement)</w:t>
      </w:r>
    </w:p>
    <w:p>
      <w:pPr>
        <w:pStyle w:val="ListBullet"/>
      </w:pPr>
      <w:r>
        <w:rPr>
          <w:rFonts w:ascii="Arial" w:hAnsi="Arial"/>
          <w:sz w:val="22"/>
        </w:rPr>
        <w:t>13. Grandes indústrias (automotivas, químicas, alimentos, hospitais, shoppings, condomínios logísticos)</w:t>
      </w:r>
    </w:p>
    <w:p>
      <w:pPr>
        <w:pStyle w:val="ListBullet"/>
      </w:pPr>
      <w:r>
        <w:rPr>
          <w:rFonts w:ascii="Arial" w:hAnsi="Arial"/>
          <w:sz w:val="22"/>
        </w:rPr>
        <w:t>14. Agronegócio (usinas, cooperativas, frigoríficos, silos, esmagadoras de soja)</w:t>
      </w:r>
    </w:p>
    <w:p>
      <w:r>
        <w:rPr>
          <w:rFonts w:ascii="Arial" w:hAnsi="Arial"/>
          <w:b w:val="0"/>
          <w:i/>
          <w:sz w:val="22"/>
        </w:rPr>
        <w:t>Observação: LinkedIn não é usado como fonte nestes 14 segmentos (fica restrito aos Pilares 2 e 4, como já era antes da ampliação).</w:t>
      </w:r>
    </w:p>
    <w:p>
      <w:pPr>
        <w:pStyle w:val="Heading2"/>
      </w:pPr>
      <w:r>
        <w:rPr>
          <w:rFonts w:ascii="Arial" w:hAnsi="Arial"/>
          <w:color w:val="2E5C8A"/>
        </w:rPr>
        <w:t>2.3 Sistema de scoring (0–100)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Arial" w:hAnsi="Arial"/>
                <w:b/>
              </w:rPr>
              <w:t>Critério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Arial" w:hAnsi="Arial"/>
                <w:b/>
              </w:rPr>
              <w:t>Peso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Potencial financeiro da obra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Volume estimado de concreto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Prazo para início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Tipo de cliente / segmento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Região / cobertura da Villa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Facilidade de contato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10</w:t>
            </w:r>
          </w:p>
        </w:tc>
      </w:tr>
    </w:tbl>
    <w:p/>
    <w:p>
      <w:pPr>
        <w:pStyle w:val="ListBullet"/>
      </w:pPr>
      <w:r>
        <w:rPr>
          <w:rFonts w:ascii="Arial" w:hAnsi="Arial"/>
          <w:sz w:val="22"/>
        </w:rPr>
        <w:t>80–100 → QUENTE → entra no CRM (prioridade URGENTE)</w:t>
      </w:r>
    </w:p>
    <w:p>
      <w:pPr>
        <w:pStyle w:val="ListBullet"/>
      </w:pPr>
      <w:r>
        <w:rPr>
          <w:rFonts w:ascii="Arial" w:hAnsi="Arial"/>
          <w:sz w:val="22"/>
        </w:rPr>
        <w:t>50–79 → MÉDIA → entra no CRM (prioridade ALTA)</w:t>
      </w:r>
    </w:p>
    <w:p>
      <w:pPr>
        <w:pStyle w:val="ListBullet"/>
      </w:pPr>
      <w:r>
        <w:rPr>
          <w:rFonts w:ascii="Arial" w:hAnsi="Arial"/>
          <w:sz w:val="22"/>
        </w:rPr>
        <w:t>0–49 → FRIA → descartada na rodada</w:t>
      </w:r>
    </w:p>
    <w:p>
      <w:pPr>
        <w:pStyle w:val="Heading2"/>
      </w:pPr>
      <w:r>
        <w:rPr>
          <w:rFonts w:ascii="Arial" w:hAnsi="Arial"/>
          <w:color w:val="2E5C8A"/>
        </w:rPr>
        <w:t>2.4 Registro no CRM</w:t>
      </w:r>
    </w:p>
    <w:p>
      <w:r>
        <w:rPr>
          <w:rFonts w:ascii="Arial" w:hAnsi="Arial"/>
          <w:b w:val="0"/>
          <w:i w:val="0"/>
          <w:sz w:val="22"/>
        </w:rPr>
        <w:t>Cada lead com score ≥ 50 deveria gerar um POST em https://villa-crm.vercel.app/api/agent (Bearer token), com campos de empresa, obra e oportunidade — incluindo os campos ampliados: segmento, clienteFinal, empresasExecutoras, contatosPublicos, faseObra, fonteInformacao, linkNoticia, dataDescoberta, potencialUsoEquipamentos, equipamentosRecomendados, prioridade e proximaAcaoComercial.</w:t>
      </w:r>
    </w:p>
    <w:p>
      <w:r>
        <w:rPr>
          <w:rFonts w:ascii="Arial" w:hAnsi="Arial"/>
          <w:b w:val="0"/>
          <w:i/>
          <w:sz w:val="22"/>
        </w:rPr>
        <w:t>Limitação conhecida: ver seção 4.</w:t>
      </w:r>
    </w:p>
    <w:p/>
    <w:p>
      <w:pPr>
        <w:pStyle w:val="Heading1"/>
      </w:pPr>
      <w:r>
        <w:rPr>
          <w:rFonts w:ascii="Arial" w:hAnsi="Arial"/>
          <w:color w:val="1F3A5F"/>
        </w:rPr>
        <w:t>3. LinkedIn Intelligence (módulo diário)</w:t>
      </w:r>
    </w:p>
    <w:p>
      <w:r>
        <w:rPr>
          <w:rFonts w:ascii="Arial" w:hAnsi="Arial"/>
          <w:b/>
          <w:i w:val="0"/>
          <w:sz w:val="22"/>
        </w:rPr>
        <w:t xml:space="preserve">Tarefa: </w:t>
      </w:r>
      <w:r>
        <w:rPr>
          <w:i/>
        </w:rPr>
        <w:t>radar-joao-linkedin-diario</w:t>
      </w:r>
    </w:p>
    <w:p>
      <w:r>
        <w:rPr>
          <w:rFonts w:ascii="Arial" w:hAnsi="Arial"/>
          <w:b w:val="0"/>
          <w:i w:val="0"/>
          <w:sz w:val="22"/>
        </w:rPr>
        <w:t>Frequência: todo dia às 07:32.</w:t>
      </w:r>
    </w:p>
    <w:p>
      <w:r>
        <w:rPr>
          <w:rFonts w:ascii="Arial" w:hAnsi="Arial"/>
          <w:b w:val="0"/>
          <w:i w:val="0"/>
          <w:sz w:val="22"/>
        </w:rPr>
        <w:t>Usa navegação logada na conta pessoal de Horácio via Claude in Chrome, em modo SOMENTE LEITURA.</w:t>
      </w:r>
    </w:p>
    <w:p>
      <w:pPr>
        <w:pStyle w:val="Heading2"/>
      </w:pPr>
      <w:r>
        <w:rPr>
          <w:rFonts w:ascii="Arial" w:hAnsi="Arial"/>
          <w:color w:val="2E5C8A"/>
        </w:rPr>
        <w:t>3.1 O que o módulo cobre</w:t>
      </w:r>
    </w:p>
    <w:p>
      <w:pPr>
        <w:pStyle w:val="ListBullet"/>
      </w:pPr>
      <w:r>
        <w:rPr>
          <w:rFonts w:ascii="Arial" w:hAnsi="Arial"/>
          <w:sz w:val="22"/>
        </w:rPr>
        <w:t>Novas obras via LinkedIn — monitora construtoras, incorporadoras, mineradoras, energia, portos, ferrovias, aeroportos, saneamento, data centers, indústrias, EPCs/EPCMs, com palavras-chave como "nova obra", "mobilização", "contrato assinado", "concretagem", "canteiro de obras".</w:t>
      </w:r>
    </w:p>
    <w:p>
      <w:pPr>
        <w:pStyle w:val="ListBullet"/>
      </w:pPr>
      <w:r>
        <w:rPr>
          <w:rFonts w:ascii="Arial" w:hAnsi="Arial"/>
          <w:sz w:val="22"/>
        </w:rPr>
        <w:t>Radar específico São Paulo — prioridade Villa SP: Grande SP, Campinas, Sorocaba, São José dos Campos, Ribeirão Preto, Bauru, São José do Rio Preto, Santos, ABC Paulista.</w:t>
      </w:r>
    </w:p>
    <w:p>
      <w:pPr>
        <w:pStyle w:val="ListBullet"/>
      </w:pPr>
      <w:r>
        <w:rPr>
          <w:rFonts w:ascii="Arial" w:hAnsi="Arial"/>
          <w:sz w:val="22"/>
        </w:rPr>
        <w:t>Movimentação de pessoal — detecta troca de cargo/empresa em 18 cargos-alvo (diretores, gerentes, coordenadores, engenheiros, compradores, mestres de obra).</w:t>
      </w:r>
    </w:p>
    <w:p>
      <w:pPr>
        <w:pStyle w:val="ListBullet"/>
      </w:pPr>
      <w:r>
        <w:rPr>
          <w:rFonts w:ascii="Arial" w:hAnsi="Arial"/>
          <w:sz w:val="22"/>
        </w:rPr>
        <w:t>Novos leads para a rede de Horácio — classificados em alta/média/baixa prioridade, com mensagem de convite e de relacionamento sugeridas.</w:t>
      </w:r>
    </w:p>
    <w:p>
      <w:pPr>
        <w:pStyle w:val="ListBullet"/>
      </w:pPr>
      <w:r>
        <w:rPr>
          <w:rFonts w:ascii="Arial" w:hAnsi="Arial"/>
          <w:sz w:val="22"/>
        </w:rPr>
        <w:t>Mensagens segmentadas para contatos já cadastrados — nunca genéricas, sempre por contexto (nova obra, troca de empresa, comprador, mineração, ferrovia, data center, SP, engajamento em post).</w:t>
      </w:r>
    </w:p>
    <w:p>
      <w:pPr>
        <w:pStyle w:val="ListBullet"/>
      </w:pPr>
      <w:r>
        <w:rPr>
          <w:rFonts w:ascii="Arial" w:hAnsi="Arial"/>
          <w:sz w:val="22"/>
        </w:rPr>
        <w:t>Interações inteligentes — apenas sugestões (curtir, comentar, convidar, mensagem, criar oportunidade, criar tarefa, avisar Horácio).</w:t>
      </w:r>
    </w:p>
    <w:p>
      <w:pPr>
        <w:pStyle w:val="ListBullet"/>
      </w:pPr>
      <w:r>
        <w:rPr>
          <w:rFonts w:ascii="Arial" w:hAnsi="Arial"/>
          <w:sz w:val="22"/>
        </w:rPr>
        <w:t>Análise de publicações — quem postou, cargo, empresa, cidade/estado, empresas/pessoas marcadas, hashtags, indícios de obra, fase, potencial para a Villa.</w:t>
      </w:r>
    </w:p>
    <w:p>
      <w:pPr>
        <w:pStyle w:val="ListBullet"/>
      </w:pPr>
      <w:r>
        <w:rPr>
          <w:rFonts w:ascii="Arial" w:hAnsi="Arial"/>
          <w:sz w:val="22"/>
        </w:rPr>
        <w:t>Análise de fotos/vídeos de obra — tenta identificar fundação, concretagem, bomba de concreto, betoneira, central, estrutura, galpão, ponte, barragem, subestação.</w:t>
      </w:r>
    </w:p>
    <w:p>
      <w:pPr>
        <w:pStyle w:val="ListBullet"/>
      </w:pPr>
      <w:r>
        <w:rPr>
          <w:rFonts w:ascii="Arial" w:hAnsi="Arial"/>
          <w:sz w:val="22"/>
        </w:rPr>
        <w:t>Registro no CRM — mesmo schema e scoring do radar semanal, origemRadar diferenciado.</w:t>
      </w:r>
    </w:p>
    <w:p>
      <w:pPr>
        <w:pStyle w:val="ListBullet"/>
      </w:pPr>
      <w:r>
        <w:rPr>
          <w:rFonts w:ascii="Arial" w:hAnsi="Arial"/>
          <w:sz w:val="22"/>
        </w:rPr>
        <w:t>Relatório diário — obras novas, obras em SP, movimentações, novos diretores/engenheiros/compradores, empresas contratando, publicações estratégicas, leads recomendados, mensagens sugeridas, oportunidades criadas, próximas ações.</w:t>
      </w:r>
    </w:p>
    <w:p>
      <w:pPr>
        <w:pStyle w:val="Heading2"/>
      </w:pPr>
      <w:r>
        <w:rPr>
          <w:rFonts w:ascii="Arial" w:hAnsi="Arial"/>
          <w:color w:val="2E5C8A"/>
        </w:rPr>
        <w:t>3.2 Regras de segurança (obrigatórias)</w:t>
      </w:r>
    </w:p>
    <w:p>
      <w:pPr>
        <w:pStyle w:val="ListBullet"/>
      </w:pPr>
      <w:r>
        <w:rPr>
          <w:rFonts w:ascii="Arial" w:hAnsi="Arial"/>
          <w:sz w:val="22"/>
        </w:rPr>
        <w:t>Nunca clica em Conectar, Seguir, Curtir, Comentar, Enviar mensagem ou qualquer botão de ação — tudo é sugestão para execução manual.</w:t>
      </w:r>
    </w:p>
    <w:p>
      <w:pPr>
        <w:pStyle w:val="ListBullet"/>
      </w:pPr>
      <w:r>
        <w:rPr>
          <w:rFonts w:ascii="Arial" w:hAnsi="Arial"/>
          <w:sz w:val="22"/>
        </w:rPr>
        <w:t>Navegação leve: prioriza leitura de texto sobre screenshot, limite de ~30–40 páginas por execução, sem buscas repetidas.</w:t>
      </w:r>
    </w:p>
    <w:p>
      <w:pPr>
        <w:pStyle w:val="ListBullet"/>
      </w:pPr>
      <w:r>
        <w:rPr>
          <w:rFonts w:ascii="Arial" w:hAnsi="Arial"/>
          <w:sz w:val="22"/>
        </w:rPr>
        <w:t>Se aparecer captcha ou sinal de bloqueio na conta, a tarefa para na hora e avisa no topo do relatório.</w:t>
      </w:r>
    </w:p>
    <w:p>
      <w:pPr>
        <w:pStyle w:val="ListBullet"/>
      </w:pPr>
      <w:r>
        <w:rPr>
          <w:rFonts w:ascii="Arial" w:hAnsi="Arial"/>
          <w:sz w:val="22"/>
        </w:rPr>
        <w:t>Login: o agente não digita a senha do Horácio (ação vedada) — o login precisa ser feito manualmente por ele quando solicitado.</w:t>
      </w:r>
    </w:p>
    <w:p>
      <w:pPr>
        <w:pStyle w:val="ListBullet"/>
      </w:pPr>
      <w:r>
        <w:rPr>
          <w:rFonts w:ascii="Arial" w:hAnsi="Arial"/>
          <w:sz w:val="22"/>
        </w:rPr>
        <w:t>Se o acesso ao Chrome/LinkedIn não estiver aprovado na execução, usa busca web pública como alternativa (cobertura mais limitada).</w:t>
      </w:r>
    </w:p>
    <w:p/>
    <w:p>
      <w:pPr>
        <w:pStyle w:val="Heading1"/>
      </w:pPr>
      <w:r>
        <w:rPr>
          <w:rFonts w:ascii="Arial" w:hAnsi="Arial"/>
          <w:color w:val="1F3A5F"/>
        </w:rPr>
        <w:t>4. Limitações conhecidas</w:t>
      </w:r>
    </w:p>
    <w:p>
      <w:pPr>
        <w:pStyle w:val="ListBullet"/>
      </w:pPr>
      <w:r>
        <w:rPr>
          <w:rFonts w:ascii="Arial" w:hAnsi="Arial"/>
          <w:sz w:val="22"/>
        </w:rPr>
        <w:t>CRM bloqueado por rede: o domínio villa-crm.vercel.app não está no allowlist de rede do ambiente onde as tarefas agendadas rodam. Toda tentativa de POST falha (erro de conexão, "blocked-by-allowlist"), tanto no radar semanal quanto no módulo diário. Nenhum lead foi gravado automaticamente até agora — os payloads ficam prontos nos relatórios para lançamento manual. Ação recomendada: liberar o domínio no allowlist do ambiente.</w:t>
      </w:r>
    </w:p>
    <w:p>
      <w:pPr>
        <w:pStyle w:val="ListBullet"/>
      </w:pPr>
      <w:r>
        <w:rPr>
          <w:rFonts w:ascii="Arial" w:hAnsi="Arial"/>
          <w:sz w:val="22"/>
        </w:rPr>
        <w:t>LinkedIn exige login manual: cada vez que a sessão do Chrome expirar, é necessário que Horácio digite a senha manualmente antes de o João continuar a leitura.</w:t>
      </w:r>
    </w:p>
    <w:p>
      <w:pPr>
        <w:pStyle w:val="ListBullet"/>
      </w:pPr>
      <w:r>
        <w:rPr>
          <w:rFonts w:ascii="Arial" w:hAnsi="Arial"/>
          <w:sz w:val="22"/>
        </w:rPr>
        <w:t>LinkedIn Intelligence é só leitura pública/indexada quando o Chrome não está aprovado: sem login, o módulo não vê feed, fotos, comentários ou engajamento — só o que aparece em busca pública (site:linkedin.com).</w:t>
      </w:r>
    </w:p>
    <w:p>
      <w:pPr>
        <w:pStyle w:val="ListBullet"/>
      </w:pPr>
      <w:r>
        <w:rPr>
          <w:rFonts w:ascii="Arial" w:hAnsi="Arial"/>
          <w:sz w:val="22"/>
        </w:rPr>
        <w:t>Escopo dos 14 segmentos setoriais não cobre literalmente as ~200 maiores construtoras todo dia — a cobertura das menores da lista é rotativa ao longo das semanas, priorizando as ~50 maiores.</w:t>
      </w:r>
    </w:p>
    <w:p/>
    <w:p>
      <w:pPr>
        <w:pStyle w:val="Heading1"/>
      </w:pPr>
      <w:r>
        <w:rPr>
          <w:rFonts w:ascii="Arial" w:hAnsi="Arial"/>
          <w:color w:val="1F3A5F"/>
        </w:rPr>
        <w:t>5. Tarefas agendadas — referência rápida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Arial" w:hAnsi="Arial"/>
                <w:b/>
              </w:rPr>
              <w:t>Tarefa (ID)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Arial" w:hAnsi="Arial"/>
                <w:b/>
              </w:rPr>
              <w:t>Frequência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Arial" w:hAnsi="Arial"/>
                <w:b/>
              </w:rPr>
              <w:t>O que faz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radar-joao-segunda-feira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Toda segunda, 08:03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4 pilares + 14 segmentos setoriais ampliados. Relatório executivo semanal para Diretoria.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radar-joao-linkedin-diario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Todo dia, 07:32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LinkedIn Intelligence — obras, pessoas, leads e mensagens sugeridas via LinkedIn.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A5F"/>
        </w:rPr>
        <w:t>6. Próximas ações recomendadas</w:t>
      </w:r>
    </w:p>
    <w:p>
      <w:pPr>
        <w:pStyle w:val="ListBullet"/>
      </w:pPr>
      <w:r>
        <w:rPr>
          <w:rFonts w:ascii="Arial" w:hAnsi="Arial"/>
          <w:sz w:val="22"/>
        </w:rPr>
        <w:t>Liberar villa-crm.vercel.app no allowlist de rede para os registros automáticos funcionarem de fato.</w:t>
      </w:r>
    </w:p>
    <w:p>
      <w:pPr>
        <w:pStyle w:val="ListBullet"/>
      </w:pPr>
      <w:r>
        <w:rPr>
          <w:rFonts w:ascii="Arial" w:hAnsi="Arial"/>
          <w:sz w:val="22"/>
        </w:rPr>
        <w:t>Clicar em "Run now" nas duas tarefas ao menos uma vez para pré-aprovar acessos (Chrome/LinkedIn) e evitar pausas por permissão.</w:t>
      </w:r>
    </w:p>
    <w:p>
      <w:pPr>
        <w:pStyle w:val="ListBullet"/>
      </w:pPr>
      <w:r>
        <w:rPr>
          <w:rFonts w:ascii="Arial" w:hAnsi="Arial"/>
          <w:sz w:val="22"/>
        </w:rPr>
        <w:t>Definir um responsável para revisar diariamente as mensagens e convites sugeridos pelo LinkedIn Intelligence antes de enviar (o sistema nunca envia sozinho).</w:t>
      </w:r>
    </w:p>
    <w:p>
      <w:pPr>
        <w:pStyle w:val="ListBullet"/>
      </w:pPr>
      <w:r>
        <w:rPr>
          <w:rFonts w:ascii="Arial" w:hAnsi="Arial"/>
          <w:sz w:val="22"/>
        </w:rPr>
        <w:t>Revisar periodicamente a lista de construtoras cobertas no segmento 1 (rotativa), garantindo que as maiores contas priorizadas continuem atualizadas.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