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40"/>
          <w:szCs w:val="40"/>
        </w:rPr>
        <w:t xml:space="preserve">Sprint 2 — Auditoria Real dos 4 Gates</w:t>
      </w:r>
    </w:p>
    <w:p>
      <w:pPr>
        <w:spacing w:after="80"/>
        <w:jc w:val="center"/>
      </w:pPr>
      <w:r>
        <w:rPr>
          <w:i/>
          <w:iCs/>
          <w:sz w:val="24"/>
          <w:szCs w:val="24"/>
        </w:rPr>
        <w:t xml:space="preserve">Villa CRM — Central de Mídias Sociais — Diagnóstico Final antes da Aprovação</w:t>
      </w:r>
    </w:p>
    <w:p>
      <w:pPr>
        <w:spacing w:after="320"/>
        <w:jc w:val="center"/>
      </w:pPr>
      <w:r>
        <w:rPr>
          <w:sz w:val="20"/>
          <w:szCs w:val="20"/>
        </w:rPr>
        <w:t xml:space="preserve">21/08/2026 — Nenhum código, migration, alteração de banco, alteração de ativo Meta ou push foi executado. Auditoria feita por leitura direta no seu Business Manager, App Dashboard e conta @villapumps (com sua sessão já autenticada).</w:t>
      </w:r>
    </w:p>
    <w:p>
      <w:pPr>
        <w:pBdr>
          <w:bottom w:val="single" w:color="999999" w:sz="6" w:space="1"/>
        </w:pBdr>
        <w:spacing w:after="240"/>
      </w:pPr>
    </w:p>
    <w:p>
      <w:pPr>
        <w:pStyle w:val="Heading1"/>
        <w:spacing w:after="160" w:before="360"/>
      </w:pPr>
      <w:r>
        <w:t xml:space="preserve">GATE 1 — Git: diagnóstico final antes do merge</w:t>
      </w:r>
    </w:p>
    <w:p>
      <w:pPr>
        <w:pStyle w:val="Heading2"/>
        <w:spacing w:after="120" w:before="240"/>
      </w:pPr>
      <w:r>
        <w:t xml:space="preserve">1. Commit remoto que falta localmente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fe4a1f1d4273c1979e5a95e72ba19d383a755a3b</w:t>
      </w:r>
      <w:r>
        <w:t xml:space="preserve"> — "feat(contratos): integra o analisador de contratos (villa-contratos) como modulo do CRM", autor Horacio, enviado ao origin em 2026-08-21 12:53:49 UTC.</w:t>
      </w:r>
    </w:p>
    <w:p>
      <w:pPr>
        <w:pStyle w:val="Heading2"/>
        <w:spacing w:after="120" w:before="240"/>
      </w:pPr>
      <w:r>
        <w:t xml:space="preserve">2. Todos os arquivos desse commit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AGENTS.md (34 linhas)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app/api/contratos/[id]/route.ts (73 linhas)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app/api/contratos/route.ts (191 linhas)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app/contratos/page.tsx (958 linhas)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components/layout/PageNavigation.tsx (4 linhas)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lib/auth/permissions.ts (16 linhas)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lib/contratos/regras.ts (124 linhas)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lib/validations/contrato.ts (53 linhas)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prisma/migrations/20260821000000_add_analise_contrato/migration.sql (68 linhas)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prisma/schema.prisma (113 linhas)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10 arquivos, 1633 inserções, 1 remoção (relativo ao ancestral comum 6a9a4f0).</w:t>
      </w:r>
    </w:p>
    <w:p>
      <w:pPr>
        <w:pStyle w:val="Heading2"/>
        <w:spacing w:after="120" w:before="240"/>
      </w:pPr>
      <w:r>
        <w:t xml:space="preserve">3. Conflitos previstos — simulação real com git merge-tree (não altera nada)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Rodei uma simulação de merge de 3 vias (git merge-tree), que não toca a árvore de trabalho nem o índice — apenas calcula o resultado teórico do merge. Resultado completo e único bloco de conflito encontrado:</w:t>
      </w:r>
    </w:p>
    <w:p>
      <w:pPr>
        <w:shd w:fill="F2F2F2" w:val="clear"/>
        <w:spacing w:after="160"/>
      </w:pPr>
      <w:r>
        <w:rPr>
          <w:rFonts w:ascii="Courier New" w:cs="Courier New" w:eastAsia="Courier New" w:hAnsi="Courier New"/>
          <w:sz w:val="18"/>
          <w:szCs w:val="18"/>
        </w:rPr>
        <w:t xml:space="preserve">changed in both
  prisma/schema.prisma (base / nossa versão / versão deles)
@@ -1644,6 +1644,10 @@
   createdAt DateTime @default(now())
   updatedAt DateTime @updatedAt
&lt;&lt;&lt;&lt;&lt;&lt;&lt; .our
  @@unique([rede, nome])
=======
  @@unique([rede])
&gt;&gt;&gt;&gt;&gt;&gt;&gt; .their
  @@index([ativo])
}</w:t>
      </w:r>
    </w:p>
    <w:p>
      <w:pPr>
        <w:pStyle w:val="Heading2"/>
        <w:spacing w:after="120" w:before="240"/>
      </w:pPr>
      <w:r>
        <w:t xml:space="preserve">4. Confirmação: só há conflito material em schema.prisma?</w:t>
      </w:r>
    </w:p>
    <w:p>
      <w:pPr>
        <w:spacing w:after="160"/>
      </w:pPr>
      <w:r>
        <w:rPr>
          <w:b/>
          <w:bCs/>
          <w:i w:val="false"/>
          <w:iCs w:val="false"/>
        </w:rPr>
        <w:t xml:space="preserve">Sim — confirmado, não é mais uma inferência. A simulação de merge não apontou nenhum outro bloco de conflito em nenhum outro arquivo. Isso bate com o que já havia sido observado por diff direto: lib/auth/permissions.ts, components/layout/PageNavigation.tsx e todos os arquivos de contratos são byte a byte idênticos entre local e origin; os arquivos da Sprint 1 e da governança de migrations só existem localmente (adições puras, sem conflito).</w:t>
      </w:r>
    </w:p>
    <w:p>
      <w:pPr>
        <w:pStyle w:val="Heading2"/>
        <w:spacing w:after="120" w:before="240"/>
      </w:pPr>
      <w:r>
        <w:t xml:space="preserve">5. Passo a passo de merge proposto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1. Confirmar que o working tree está limpo (sem alterações não commitadas relevantes) antes de iniciar.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2. git fetch origin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3. git merge origin/main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4. Resolver o único conflito em prisma/schema.prisma, mantendo "@@unique([rede, nome])" (a versão corrigida na Sprint 1) e descartando "@@unique([rede])".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5. Rodar prisma generate e tsc --noEmit para confirmar integridade pós-merge.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6. NÃO rodar migrate dev nem db push — a migration já aplicada no Neon continua válida.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7. Revisão sua do commit de merge antes de qualquer push.</w:t>
      </w:r>
    </w:p>
    <w:p>
      <w:pPr>
        <w:pStyle w:val="Heading2"/>
        <w:spacing w:after="120" w:before="240"/>
      </w:pPr>
      <w:r>
        <w:t xml:space="preserve">6. Como todos os commits locais são preservados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git merge origin/main (estando em main local) cria um commit de merge com dois pais — o HEAD local atual (96dd5a4) e fe4a1f1 (origin). Isso preserva a linha do tempo local inteira (f4cd36a → 16373b8 → a8e643e → 96dd5a4) com seus hashes originais intactos; nenhum commit é reescrito, diferente do que aconteceria com rebase.</w:t>
      </w:r>
    </w:p>
    <w:p>
      <w:pPr>
        <w:spacing w:after="160"/>
      </w:pPr>
      <w:r>
        <w:rPr>
          <w:b/>
          <w:bCs/>
          <w:i w:val="false"/>
          <w:iCs w:val="false"/>
        </w:rPr>
        <w:t xml:space="preserve">Nenhuma ação de merge/pull/push foi executada — isto é só o diagnóstico final solicitado.</w:t>
      </w:r>
    </w:p>
    <w:p>
      <w:pPr>
        <w:pBdr>
          <w:bottom w:val="single" w:color="999999" w:sz="6" w:space="1"/>
        </w:pBdr>
        <w:spacing w:after="240"/>
      </w:pPr>
    </w:p>
    <w:p>
      <w:pPr>
        <w:pStyle w:val="Heading1"/>
        <w:spacing w:after="160" w:before="360"/>
      </w:pPr>
      <w:r>
        <w:t xml:space="preserve">GATE 2 — Ativos Meta: inventário real (somente leitura)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Auditoria feita agora, diretamente no Meta Business Suite, no App Dashboard e na conta @villapumps, usando sua sessão já autenticada no navegador. Nenhum ativo foi alterado, criado ou removido.</w:t>
      </w:r>
    </w:p>
    <w:p>
      <w:pPr>
        <w:pStyle w:val="Heading2"/>
        <w:spacing w:after="120" w:before="240"/>
      </w:pPr>
      <w:r>
        <w:t xml:space="preserve">Business Manager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[CONFIRMADO NO PAINEL] </w:t>
      </w:r>
      <w:r>
        <w:t xml:space="preserve">Nome: Villa Empreendimentos (razão social: VILLA EMPREENDIMENTOS LTDA, CNPJ 08972726000106). ID (mascarado): 167834***********31.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[CONFIRMADO NO PAINEL] </w:t>
      </w:r>
      <w:r>
        <w:t xml:space="preserve">Verificação empresarial: Verificada em 15/06/2026. Adicionalmente, a empresa está verificada como "Provedor de Tecnologia" (Access Verification) — nível de verificação acima do básico.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[CONFIRMADO NO PAINEL] </w:t>
      </w:r>
      <w:r>
        <w:t xml:space="preserve">Proprietário/admin: Horacio Forte (horacio@villaempreendimentos.com.br), Acesso total, criador do portfólio em 06/06/2026.</w:t>
      </w:r>
    </w:p>
    <w:p>
      <w:pPr>
        <w:pStyle w:val="Heading2"/>
        <w:spacing w:after="120" w:before="240"/>
      </w:pPr>
      <w:r>
        <w:t xml:space="preserve">Página Facebook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[CONFIRMADO NO PAINEL] </w:t>
      </w:r>
      <w:r>
        <w:t xml:space="preserve">NÃO existe nenhuma Página cadastrada neste Business Manager ("Nenhuma Página adicionada").</w:t>
      </w:r>
    </w:p>
    <w:p>
      <w:pPr>
        <w:pStyle w:val="Heading2"/>
        <w:spacing w:after="120" w:before="240"/>
      </w:pPr>
      <w:r>
        <w:t xml:space="preserve">Instagram (@villapumps)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[CONFIRMADO NO PAINEL] </w:t>
      </w:r>
      <w:r>
        <w:t xml:space="preserve">Conta profissional ativa e acessível — Painel profissional disponível (abas Insights e Ferramentas para anúncios). 468 posts, 2.894 seguidores, 233 seguindo.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[CONFIRMADO NO PAINEL] </w:t>
      </w:r>
      <w:r>
        <w:t xml:space="preserve">NÃO está adicionada aos ativos de negócios deste Business Manager ("Nenhuma conta do Instagram adicionada" em Contas do Instagram).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[CONFIRMADO NO PAINEL] </w:t>
      </w:r>
      <w:r>
        <w:t xml:space="preserve">Vínculo de identidade (Central de Contas / Accounts Center): a conta está associada a um perfil pessoal do Facebook chamado "Ferreira Mesquita Amanda" — não à Página da Villa (que não existe) nem ao Business Manager Villa Empreendimentos administrado por você.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[ATENÇÃO] </w:t>
      </w:r>
      <w:r>
        <w:t xml:space="preserve">Este é um ponto que precisa da sua atenção direta antes da Sprint 2: quem é essa pessoa e qual sua relação com a administração da conta @villapumps — isso influencia diretamente quem pode gerar/autorizar o token de API.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[CONFIRMADO NO PAINEL] </w:t>
      </w:r>
      <w:r>
        <w:t xml:space="preserve">Nenhum aplicativo foi autorizado a acessar a conta do Instagram até agora ("Você não autorizou nenhum aplicativo a acessar a sua conta do Instagram") — confirma que não existe token/app conectado hoje.</w:t>
      </w:r>
    </w:p>
    <w:p>
      <w:pPr>
        <w:pStyle w:val="Heading2"/>
        <w:spacing w:after="120" w:before="240"/>
      </w:pPr>
      <w:r>
        <w:t xml:space="preserve">Conta de anúncios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[CONFIRMADO NO PAINEL] </w:t>
      </w:r>
      <w:r>
        <w:t xml:space="preserve">Existe uma conta de anúncios (mascarada: 309552***********97, moeda BRL), usada diretamente pelas ferramentas de impulsionamento do Instagram (não pelo Gerenciador de Anúncios do Business Manager). Fundos disponíveis: R$8,59. Histórico de 3 impulsionamentos (dez/2024, jul/2019, mar/2019).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[CONFIRMADO NO PAINEL] </w:t>
      </w:r>
      <w:r>
        <w:t xml:space="preserve">Essa conta de anúncios NÃO está adicionada como ativo do Business Manager Villa Empreendimentos ("Nenhuma conta de anúncios adicionada").</w:t>
      </w:r>
    </w:p>
    <w:p>
      <w:pPr>
        <w:pStyle w:val="Heading2"/>
        <w:spacing w:after="120" w:before="240"/>
      </w:pPr>
      <w:r>
        <w:t xml:space="preserve">App de Mídias Sociais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[CONFIRMADO NO PAINEL] </w:t>
      </w:r>
      <w:r>
        <w:t xml:space="preserve">Não existe um app dedicado a Mídias Sociais/Instagram. Existem 2 apps no total, ambos associados à empresa Villa Empreendimentos, ambos em Modo "Em desenvolvimento" / Não publicados, e ambos já têm APENAS o caso de uso "Conectar-se com clientes pelo WhatsApp" configurado — nenhum tem Instagram ou Facebook Login para Instagram configurado.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"Villa teste inativo" (ID mascarado: 451547***********00)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"Villa Empreendimentos - solução..." (ID mascarado: 937150***********53), com 2 alertas não lidos na Caixa de Entrada de alertas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[ATENÇÃO] </w:t>
      </w:r>
      <w:r>
        <w:t xml:space="preserve">Reaproveitar "Villa teste inativo" com segurança: NÃO recomendado. Apesar do nome sugerir um app inativo/isolado, ele já tem o mesmo caso de uso WhatsApp configurado que o outro app — não é um app vazio. Adicionar Instagram a ele misturaria configuração e permissões de dois produtos diferentes no mesmo App, contrariando a própria intenção original de ter um "App separado" para Mídias Sociais. Recomendo criar um novo App dedicado, exclusivo para Mídias Sociais.</w:t>
      </w:r>
    </w:p>
    <w:p>
      <w:pPr>
        <w:spacing w:after="160"/>
      </w:pPr>
      <w:r>
        <w:rPr>
          <w:b/>
          <w:bCs/>
          <w:i w:val="false"/>
          <w:iCs w:val="false"/>
        </w:rPr>
        <w:t xml:space="preserve">Nenhum ativo foi criado, modificado ou removido durante esta auditoria.</w:t>
      </w:r>
    </w:p>
    <w:p>
      <w:pPr>
        <w:pBdr>
          <w:bottom w:val="single" w:color="999999" w:sz="6" w:space="1"/>
        </w:pBdr>
        <w:spacing w:after="240"/>
      </w:pPr>
    </w:p>
    <w:p>
      <w:pPr>
        <w:pStyle w:val="Heading1"/>
        <w:spacing w:after="160" w:before="360"/>
      </w:pPr>
      <w:r>
        <w:t xml:space="preserve">GATE 3 — Standard × Advanced Access, App Review, permissões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[DOCUMENTAÇÃO / A CONFIRMAR] </w:t>
      </w:r>
      <w:r>
        <w:t xml:space="preserve">Nenhum dos dois apps existentes tem o produto/caso de uso Instagram adicionado ainda — portanto não há, hoje, uma tela de nível de acesso (Standard/Advanced) específica para Instagram para eu conferir no painel. Essa confirmação só existe depois que um app tiver o caso de uso Instagram criado — o que é uma ação de configuração, não uma leitura, e não foi autorizada nesta etapa.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[CONFIRMADO NO PAINEL] </w:t>
      </w:r>
      <w:r>
        <w:t xml:space="preserve">Business Verification (verificação de negócio) e a verificação adicional de "Provedor de Tecnologia" já estão concluídas para Villa Empreendimentos — isso normalmente cobre o pré-requisito de verificação que a Advanced Access exigiria, se um dia for necessária.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[DOCUMENTAÇÃO / A CONFIRMAR] </w:t>
      </w:r>
      <w:r>
        <w:t xml:space="preserve">Segundo a documentação oficial da Meta (revisão feita na proposta anterior, ainda não confirmável no painel até o caso de uso existir): para um app que atende apenas a própria conta @villapumps, Standard Access deve ser suficiente, sem necessidade de App Review.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[DOCUMENTAÇÃO / A CONFIRMAR] </w:t>
      </w:r>
      <w:r>
        <w:t xml:space="preserve">Quais permissões estarão disponíveis imediatamente para uso contra ativos da própria Villa: só será possível confirmar no painel depois de criar o app dedicado e adicionar o caso de uso Instagram — não simulado nesta auditoria por ser uma ação, não uma leitura.</w:t>
      </w:r>
    </w:p>
    <w:p>
      <w:pPr>
        <w:pBdr>
          <w:bottom w:val="single" w:color="999999" w:sz="6" w:space="1"/>
        </w:pBdr>
        <w:spacing w:after="240"/>
      </w:pPr>
    </w:p>
    <w:p>
      <w:pPr>
        <w:pStyle w:val="Heading1"/>
        <w:spacing w:after="160" w:before="360"/>
      </w:pPr>
      <w:r>
        <w:t xml:space="preserve">GATE 4 — Matriz real de métricas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Como ainda não existe app dedicado nem token para @villapumps (confirmado no Gate 2), a coluna "Confirmada no Graph Explorer?" não pode ser testada nesta etapa — não simulei nem presumi nenhum resultado de API sem uma chamada real. Em compensação, ao acessar o Painel Profissional/Insights nativo do Instagram para @villapumps (mesmos dados que alimentam a API), pude confirmar ao vivo, para os últimos 30 dias, valores muito próximos do baseline manual de 20/08 — uma forte evidência indireta (não uma confirmação de API) de que essas métricas existem e estão ativas para esta conta hoje.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1250"/>
        <w:gridCol w:w="850"/>
        <w:gridCol w:w="750"/>
        <w:gridCol w:w="1350"/>
        <w:gridCol w:w="1650"/>
        <w:gridCol w:w="900"/>
      </w:tblGrid>
      <w:tr>
        <w:tc>
          <w:tcPr>
            <w:tcW w:type="dxa" w:w="1350"/>
            <w:shd w:fill="DCE6F1" w:val="clear"/>
          </w:tcPr>
          <w:p>
            <w:r>
              <w:rPr>
                <w:b/>
                <w:bCs/>
                <w:sz w:val="18"/>
                <w:szCs w:val="18"/>
              </w:rPr>
              <w:t xml:space="preserve">Métrica desejada</w:t>
            </w:r>
          </w:p>
        </w:tc>
        <w:tc>
          <w:tcPr>
            <w:tcW w:type="dxa" w:w="1250"/>
            <w:shd w:fill="DCE6F1" w:val="clear"/>
          </w:tcPr>
          <w:p>
            <w:r>
              <w:rPr>
                <w:b/>
                <w:bCs/>
                <w:sz w:val="18"/>
                <w:szCs w:val="18"/>
              </w:rPr>
              <w:t xml:space="preserve">Endpoint</w:t>
            </w:r>
          </w:p>
        </w:tc>
        <w:tc>
          <w:tcPr>
            <w:tcW w:type="dxa" w:w="850"/>
            <w:shd w:fill="DCE6F1" w:val="clear"/>
          </w:tcPr>
          <w:p>
            <w:r>
              <w:rPr>
                <w:b/>
                <w:bCs/>
                <w:sz w:val="18"/>
                <w:szCs w:val="18"/>
              </w:rPr>
              <w:t xml:space="preserve">Account/Media</w:t>
            </w:r>
          </w:p>
        </w:tc>
        <w:tc>
          <w:tcPr>
            <w:tcW w:type="dxa" w:w="750"/>
            <w:shd w:fill="DCE6F1" w:val="clear"/>
          </w:tcPr>
          <w:p>
            <w:r>
              <w:rPr>
                <w:b/>
                <w:bCs/>
                <w:sz w:val="18"/>
                <w:szCs w:val="18"/>
              </w:rPr>
              <w:t xml:space="preserve">Período</w:t>
            </w:r>
          </w:p>
        </w:tc>
        <w:tc>
          <w:tcPr>
            <w:tcW w:type="dxa" w:w="1350"/>
            <w:shd w:fill="DCE6F1" w:val="clear"/>
          </w:tcPr>
          <w:p>
            <w:r>
              <w:rPr>
                <w:b/>
                <w:bCs/>
                <w:sz w:val="18"/>
                <w:szCs w:val="18"/>
              </w:rPr>
              <w:t xml:space="preserve">API fornece?</w:t>
            </w:r>
          </w:p>
        </w:tc>
        <w:tc>
          <w:tcPr>
            <w:tcW w:type="dxa" w:w="1650"/>
            <w:shd w:fill="DCE6F1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Confirmada no Graph Explorer?</w:t>
            </w:r>
          </w:p>
        </w:tc>
        <w:tc>
          <w:tcPr>
            <w:tcW w:type="dxa" w:w="900"/>
            <w:shd w:fill="DCE6F1" w:val="clear"/>
          </w:tcPr>
          <w:p>
            <w:r>
              <w:rPr>
                <w:b/>
                <w:bCs/>
                <w:sz w:val="18"/>
                <w:szCs w:val="18"/>
              </w:rPr>
              <w:t xml:space="preserve">Sprint 2?</w:t>
            </w:r>
          </w:p>
        </w:tc>
      </w:tr>
      <w:tr>
        <w:tc>
          <w:tcPr>
            <w:tcW w:type="dxa" w:w="13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Seguidores (follower_count)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IG User fields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Account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Atual</w:t>
            </w:r>
          </w:p>
        </w:tc>
        <w:tc>
          <w:tcPr>
            <w:tcW w:type="dxa" w:w="13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Sim (doc)</w:t>
            </w:r>
          </w:p>
        </w:tc>
        <w:tc>
          <w:tcPr>
            <w:tcW w:type="dxa" w:w="16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Não testável (sem token) — equivalente confirmado na UI nativa (2.894)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</w:tr>
      <w:tr>
        <w:tc>
          <w:tcPr>
            <w:tcW w:type="dxa" w:w="13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Media count (posts)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IG User fields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Account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Atual</w:t>
            </w:r>
          </w:p>
        </w:tc>
        <w:tc>
          <w:tcPr>
            <w:tcW w:type="dxa" w:w="13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Sim (doc)</w:t>
            </w:r>
          </w:p>
        </w:tc>
        <w:tc>
          <w:tcPr>
            <w:tcW w:type="dxa" w:w="16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Não testável — equivalente confirmado na UI (468)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</w:tr>
      <w:tr>
        <w:tc>
          <w:tcPr>
            <w:tcW w:type="dxa" w:w="13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Reach (alcance)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IG User/Media Insights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Ambos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Período</w:t>
            </w:r>
          </w:p>
        </w:tc>
        <w:tc>
          <w:tcPr>
            <w:tcW w:type="dxa" w:w="13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Sim (doc)</w:t>
            </w:r>
          </w:p>
        </w:tc>
        <w:tc>
          <w:tcPr>
            <w:tcW w:type="dxa" w:w="16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Não testável — breakdown seguidor/não-seguidor confirmado na UI (79%/21%)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</w:tr>
      <w:tr>
        <w:tc>
          <w:tcPr>
            <w:tcW w:type="dxa" w:w="13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Views/Impressions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IG User/Media Insights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Ambos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Período</w:t>
            </w:r>
          </w:p>
        </w:tc>
        <w:tc>
          <w:tcPr>
            <w:tcW w:type="dxa" w:w="13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Sim, mas nome do campo pode variar (views vs impressions legado)</w:t>
            </w:r>
          </w:p>
        </w:tc>
        <w:tc>
          <w:tcPr>
            <w:tcW w:type="dxa" w:w="16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 confirmar no Graph Explorer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</w:tr>
      <w:tr>
        <w:tc>
          <w:tcPr>
            <w:tcW w:type="dxa" w:w="13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Profile views (visitas ao perfil)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IG User Insights (profile_visits)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Account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Período</w:t>
            </w:r>
          </w:p>
        </w:tc>
        <w:tc>
          <w:tcPr>
            <w:tcW w:type="dxa" w:w="13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Contradição encontrada na doc (ativa e depreciada em passagens diferentes)</w:t>
            </w:r>
          </w:p>
        </w:tc>
        <w:tc>
          <w:tcPr>
            <w:tcW w:type="dxa" w:w="16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Não testável — equivalente confirmado na UI (191)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Sim, após confirmar nome exato</w:t>
            </w:r>
          </w:p>
        </w:tc>
      </w:tr>
      <w:tr>
        <w:tc>
          <w:tcPr>
            <w:tcW w:type="dxa" w:w="13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Website/link clicks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IG User Insights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Account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Período</w:t>
            </w:r>
          </w:p>
        </w:tc>
        <w:tc>
          <w:tcPr>
            <w:tcW w:type="dxa" w:w="13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Mesma contradição acima</w:t>
            </w:r>
          </w:p>
        </w:tc>
        <w:tc>
          <w:tcPr>
            <w:tcW w:type="dxa" w:w="16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Não testável — dado análogo na UI ("toques em links externos": 7)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Sim, se confirmado</w:t>
            </w:r>
          </w:p>
        </w:tc>
      </w:tr>
      <w:tr>
        <w:tc>
          <w:tcPr>
            <w:tcW w:type="dxa" w:w="13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Interações totais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IG User/Media Insights (total_interactions)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Ambos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Período</w:t>
            </w:r>
          </w:p>
        </w:tc>
        <w:tc>
          <w:tcPr>
            <w:tcW w:type="dxa" w:w="13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Sim (doc)</w:t>
            </w:r>
          </w:p>
        </w:tc>
        <w:tc>
          <w:tcPr>
            <w:tcW w:type="dxa" w:w="16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Não testável — equivalente confirmado na UI (294)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</w:tr>
      <w:tr>
        <w:tc>
          <w:tcPr>
            <w:tcW w:type="dxa" w:w="13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Accounts engaged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IG User Insights (accounts_engaged)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Account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Período</w:t>
            </w:r>
          </w:p>
        </w:tc>
        <w:tc>
          <w:tcPr>
            <w:tcW w:type="dxa" w:w="13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Sim (doc)</w:t>
            </w:r>
          </w:p>
        </w:tc>
        <w:tc>
          <w:tcPr>
            <w:tcW w:type="dxa" w:w="16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Não testável — equivalente confirmado na UI (108)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</w:tr>
      <w:tr>
        <w:tc>
          <w:tcPr>
            <w:tcW w:type="dxa" w:w="13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Likes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IG Media Insights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Por conteúdo</w:t>
            </w:r>
          </w:p>
        </w:tc>
        <w:tc>
          <w:tcPr>
            <w:tcW w:type="dxa" w:w="13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Sim (doc)</w:t>
            </w:r>
          </w:p>
        </w:tc>
        <w:tc>
          <w:tcPr>
            <w:tcW w:type="dxa" w:w="16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 confirmar no Graph Explorer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</w:tr>
      <w:tr>
        <w:tc>
          <w:tcPr>
            <w:tcW w:type="dxa" w:w="13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Comments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IG Media Insights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Por conteúdo</w:t>
            </w:r>
          </w:p>
        </w:tc>
        <w:tc>
          <w:tcPr>
            <w:tcW w:type="dxa" w:w="13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Sim (doc)</w:t>
            </w:r>
          </w:p>
        </w:tc>
        <w:tc>
          <w:tcPr>
            <w:tcW w:type="dxa" w:w="16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 confirmar no Graph Explorer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</w:tr>
      <w:tr>
        <w:tc>
          <w:tcPr>
            <w:tcW w:type="dxa" w:w="13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Shares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IG Media/User Insights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Ambos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Por conteúdo/período</w:t>
            </w:r>
          </w:p>
        </w:tc>
        <w:tc>
          <w:tcPr>
            <w:tcW w:type="dxa" w:w="13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Sim (doc)</w:t>
            </w:r>
          </w:p>
        </w:tc>
        <w:tc>
          <w:tcPr>
            <w:tcW w:type="dxa" w:w="16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 confirmar no Graph Explorer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</w:tr>
      <w:tr>
        <w:tc>
          <w:tcPr>
            <w:tcW w:type="dxa" w:w="13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Saves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IG Media/User Insights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Ambos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Por conteúdo/período</w:t>
            </w:r>
          </w:p>
        </w:tc>
        <w:tc>
          <w:tcPr>
            <w:tcW w:type="dxa" w:w="13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Sim (doc)</w:t>
            </w:r>
          </w:p>
        </w:tc>
        <w:tc>
          <w:tcPr>
            <w:tcW w:type="dxa" w:w="16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 confirmar no Graph Explorer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</w:tr>
      <w:tr>
        <w:tc>
          <w:tcPr>
            <w:tcW w:type="dxa" w:w="13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Reel plays/views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IG Media Insights (reel)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Por conteúdo</w:t>
            </w:r>
          </w:p>
        </w:tc>
        <w:tc>
          <w:tcPr>
            <w:tcW w:type="dxa" w:w="13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Provável, lista completa não veio confirmada na doc consultada</w:t>
            </w:r>
          </w:p>
        </w:tc>
        <w:tc>
          <w:tcPr>
            <w:tcW w:type="dxa" w:w="16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 confirmar no Graph Explorer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Sim, se confirmado</w:t>
            </w:r>
          </w:p>
        </w:tc>
      </w:tr>
      <w:tr>
        <w:tc>
          <w:tcPr>
            <w:tcW w:type="dxa" w:w="13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Story metrics (exits, replies, navegação)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IG Media Insights (story)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Retenção curta</w:t>
            </w:r>
          </w:p>
        </w:tc>
        <w:tc>
          <w:tcPr>
            <w:tcW w:type="dxa" w:w="13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Retenção/expiração exata não confirmada na doc consultada</w:t>
            </w:r>
          </w:p>
        </w:tc>
        <w:tc>
          <w:tcPr>
            <w:tcW w:type="dxa" w:w="16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 confirmar no Graph Explorer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Talvez — não essencial ao mínimo</w:t>
            </w:r>
          </w:p>
        </w:tc>
      </w:tr>
      <w:tr>
        <w:tc>
          <w:tcPr>
            <w:tcW w:type="dxa" w:w="13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Follower/non-follower breakdown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IG User Insights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Account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Período</w:t>
            </w:r>
          </w:p>
        </w:tc>
        <w:tc>
          <w:tcPr>
            <w:tcW w:type="dxa" w:w="13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Sim (doc)</w:t>
            </w:r>
          </w:p>
        </w:tc>
        <w:tc>
          <w:tcPr>
            <w:tcW w:type="dxa" w:w="16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Equivalente confirmado na UI nativa (79%/21%, bate com baseline 78,8%/21,2%)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</w:tr>
      <w:tr>
        <w:tc>
          <w:tcPr>
            <w:tcW w:type="dxa" w:w="13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Demografia (país/cidade/gênero)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IG User Insights (demographics)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Account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Período, exige &gt;100 engajamento</w:t>
            </w:r>
          </w:p>
        </w:tc>
        <w:tc>
          <w:tcPr>
            <w:tcW w:type="dxa" w:w="13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Sim (doc)</w:t>
            </w:r>
          </w:p>
        </w:tc>
        <w:tc>
          <w:tcPr>
            <w:tcW w:type="dxa" w:w="16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 confirmar no Graph Explorer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Não essencial — fica como extra futuro</w:t>
            </w:r>
          </w:p>
        </w:tc>
      </w:tr>
    </w:tbl>
    <w:p>
      <w:pPr>
        <w:spacing w:after="200"/>
      </w:pPr>
    </w:p>
    <w:p>
      <w:pPr>
        <w:pBdr>
          <w:bottom w:val="single" w:color="999999" w:sz="6" w:space="1"/>
        </w:pBdr>
        <w:spacing w:after="240"/>
      </w:pPr>
    </w:p>
    <w:p>
      <w:pPr>
        <w:pStyle w:val="Heading1"/>
        <w:spacing w:after="160" w:before="360"/>
      </w:pPr>
      <w:r>
        <w:t xml:space="preserve">5. Métricas removidas/adicionadas em relação à proposta inicial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Adicionada: </w:t>
      </w:r>
      <w:r>
        <w:t xml:space="preserve">"toques em links externos", observada na UI nativa como possível equivalente a website_clicks/link clicks — precisa mapear ao nome exato do campo da API no Graph Explorer.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Rebaixadas de prioridade (não removidas): </w:t>
      </w:r>
      <w:r>
        <w:t xml:space="preserve">Reel plays/views e métricas de Stories — ficam condicionadas à confirmação exata no Graph API Explorer antes de entrar no schema/UI definitivo.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Nenhuma métrica nova foi inventada; todas as adições vêm de observação direta da conta real ou da documentação oficial.</w:t>
      </w:r>
    </w:p>
    <w:p>
      <w:pPr>
        <w:pBdr>
          <w:bottom w:val="single" w:color="999999" w:sz="6" w:space="1"/>
        </w:pBdr>
        <w:spacing w:after="240"/>
      </w:pPr>
    </w:p>
    <w:p>
      <w:pPr>
        <w:pStyle w:val="Heading1"/>
        <w:spacing w:after="160" w:before="360"/>
      </w:pPr>
      <w:r>
        <w:t xml:space="preserve">6. Conta de anúncios é necessária para a Sprint 2?</w:t>
      </w:r>
    </w:p>
    <w:p>
      <w:pPr>
        <w:spacing w:after="160"/>
      </w:pPr>
      <w:r>
        <w:rPr>
          <w:b/>
          <w:bCs/>
          <w:sz w:val="26"/>
          <w:szCs w:val="26"/>
        </w:rPr>
        <w:t xml:space="preserve">NÃO.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Justificativa técnica: os endpoints de Instagram Insights (conta e mídia) dependem apenas de a conta ser profissional (Business/Creator) + um App com o produto Instagram habilitado + um token de acesso válido. Eles não exigem uma conta de anúncios associada. A conta de anúncios existente (309552***********97) só é relevante para impulsionamentos pagos/Ads, explicitamente fora do escopo desta Sprint (pertence a uma sprint futura de Campanhas/Ads).</w:t>
      </w:r>
    </w:p>
    <w:p>
      <w:pPr>
        <w:pBdr>
          <w:bottom w:val="single" w:color="999999" w:sz="6" w:space="1"/>
        </w:pBdr>
        <w:spacing w:after="240"/>
      </w:pPr>
    </w:p>
    <w:p>
      <w:pPr>
        <w:pStyle w:val="Heading1"/>
        <w:spacing w:after="160" w:before="360"/>
      </w:pPr>
      <w:r>
        <w:t xml:space="preserve">7. Bloqueios restantes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Git: merge ainda não executado (passo a passo pronto, baixo risco, aguardando sua autorização explícita para rodar).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Não existe app dedicado a Mídias Sociais — precisa ser criado (ação de configuração, não simulável em modo leitura).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Não existe token/autorização de nenhum app para @villapumps.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identidade de Central de Contas do Instagram está vinculada a um perfil pessoal de terceiro ("Ferreira Mesquita Amanda"), não a você nem ao Business Manager — precisa esclarecimento seu antes de prosseguir com a geração de token.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Não existe Página do Facebook — não bloqueia tecnicamente (o caminho "Business Login for Instagram" não exige Página), mas é uma decisão consciente que falta confirmar.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Detalhes finos de algumas métricas (profile_views/website_clicks, métricas completas de Reels/Stories, retenção de Stories, duração exata de token) só são confirmáveis no Graph API Explorer depois que o app + token existirem — dependem da resolução dos itens acima.</w:t>
      </w:r>
    </w:p>
    <w:p>
      <w:pPr>
        <w:pBdr>
          <w:bottom w:val="single" w:color="999999" w:sz="6" w:space="1"/>
        </w:pBdr>
        <w:spacing w:after="240"/>
      </w:pPr>
    </w:p>
    <w:p>
      <w:pPr>
        <w:pStyle w:val="Heading1"/>
        <w:spacing w:after="160" w:before="360"/>
      </w:pPr>
      <w:r>
        <w:t xml:space="preserve">8. Decisão</w:t>
      </w:r>
    </w:p>
    <w:p>
      <w:pPr>
        <w:spacing w:after="160"/>
      </w:pPr>
      <w:r>
        <w:rPr>
          <w:b/>
          <w:bCs/>
          <w:sz w:val="28"/>
          <w:szCs w:val="28"/>
        </w:rPr>
        <w:t xml:space="preserve">NÃO APTO PARA INICIAR SPRINT 2 (ainda)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A auditoria real trouxe clareza: a arquitetura proposta continua válida, e a maior parte das métricas planejadas tem evidência forte de disponibilidade (confirmada diretamente na conta real, ainda que não via API). Os bloqueios que restam são todos de configuração/decisão, não de arquitetura: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1. Executar o merge do git (baixo risco, passo a passo pronto).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2. Decidir e criar um App dedicado a Mídias Sociais (não reaproveitar "Villa teste inativo").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3. Esclarecer a situação da identidade "Ferreira Mesquita Amanda" vinculada à conta @villapumps.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4. Gerar um token real (após o App existir) e testar a matriz de métricas no Graph API Explorer.</w:t>
      </w:r>
    </w:p>
    <w:p>
      <w:pPr>
        <w:spacing w:after="160"/>
      </w:pPr>
      <w:r>
        <w:rPr>
          <w:b/>
          <w:bCs/>
          <w:i w:val="false"/>
          <w:iCs w:val="false"/>
        </w:rPr>
        <w:t xml:space="preserve">Assim que esses 4 pontos forem resolvidos, a Sprint 2 pode ser considerada APTA sem necessidade de redesenho — o modelo de dados, a arquitetura de sincronização e o plano de commits da proposta técnica original permanecem válidos.</w:t>
      </w:r>
    </w:p>
    <w:sectPr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2026-08-21T23:23:52.948Z</dcterms:created>
  <dcterms:modified xsi:type="dcterms:W3CDTF">2026-08-21T23:23:52.948Z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