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40"/>
          <w:szCs w:val="40"/>
        </w:rPr>
        <w:t xml:space="preserve">RADAR JOÃO</w:t>
      </w: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Inteligência Comercial — Villa Empreendimentos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Resumo da Semana — 20 de julho de 2026</w:t>
      </w:r>
    </w:p>
    <w:p>
      <w:pPr>
        <w:pStyle w:val="Heading1"/>
        <w:spacing w:after="150" w:before="300"/>
      </w:pPr>
      <w:r>
        <w:t xml:space="preserve">Sumário Executivo</w:t>
      </w:r>
    </w:p>
    <w:p>
      <w:pPr>
        <w:spacing w:after="100"/>
      </w:pPr>
      <w:r>
        <w:t xml:space="preserve">Varredura nacional (4 Pilares + 14 segmentos setoriais ampliados) identificou 11 oportunidades comerciais qualificadas (score ≥ 50), todas registradas na Central de Inteligência do CRM. Nenhum lead qualificado surgiu nos Pilares 2, 3 e 4 nesta rodada — os sinais encontrados foram genéricos demais (sem obra, local ou volume de concreto associável) para ultrapassar o corte de score 50. Destaque para a ampliação da Refinaria Abreu e Lima (RNEST/PE, score 95) e o maior condomínio logístico do Brasil (Private Log/ES, score 88).</w:t>
      </w:r>
    </w:p>
    <w:p>
      <w:pPr>
        <w:pStyle w:val="Heading1"/>
        <w:spacing w:after="150" w:before="300"/>
      </w:pPr>
      <w:r>
        <w:t xml:space="preserve">Pilar 1 — Obras (incluindo segmentos setoriais ampliados)</w:t>
      </w:r>
    </w:p>
    <w:p>
      <w:pPr>
        <w:spacing w:after="60"/>
      </w:pPr>
      <w:r>
        <w:rPr>
          <w:b/>
          <w:bCs/>
        </w:rPr>
        <w:t xml:space="preserve">Obras/projetos mapeados na varredura: </w:t>
      </w:r>
      <w:r>
        <w:t xml:space="preserve">≈ 30</w:t>
      </w:r>
    </w:p>
    <w:p>
      <w:pPr>
        <w:spacing w:after="60"/>
      </w:pPr>
      <w:r>
        <w:rPr>
          <w:b/>
          <w:bCs/>
        </w:rPr>
        <w:t xml:space="preserve">Qualificados (score ≥ 50): </w:t>
      </w:r>
      <w:r>
        <w:t xml:space="preserve">11</w:t>
      </w:r>
    </w:p>
    <w:p>
      <w:pPr>
        <w:spacing w:after="60"/>
      </w:pPr>
      <w:r>
        <w:rPr>
          <w:b/>
          <w:bCs/>
        </w:rPr>
        <w:t xml:space="preserve">Leads QUENTES (score 80–100): </w:t>
      </w:r>
      <w:r>
        <w:t xml:space="preserve">5</w:t>
      </w:r>
    </w:p>
    <w:p>
      <w:pPr>
        <w:spacing w:after="60"/>
      </w:pPr>
      <w:r>
        <w:rPr>
          <w:b/>
          <w:bCs/>
        </w:rPr>
        <w:t xml:space="preserve">Leads MÉDIOS (score 50–79): </w:t>
      </w:r>
      <w:r>
        <w:t xml:space="preserve">6</w:t>
      </w:r>
    </w:p>
    <w:p>
      <w:pPr>
        <w:spacing w:after="60"/>
      </w:pPr>
      <w:r>
        <w:rPr>
          <w:b/>
          <w:bCs/>
        </w:rPr>
        <w:t xml:space="preserve">Segmentos com mais achados: </w:t>
      </w:r>
      <w:r>
        <w:t xml:space="preserve">Óleo e Gás, Logística/Condomínios, Portos, Rodovias, Ferrovias, Agronegócio, Data Centers</w:t>
      </w:r>
    </w:p>
    <w:p>
      <w:pPr>
        <w:pStyle w:val="Heading2"/>
        <w:spacing w:after="120" w:before="250"/>
      </w:pPr>
      <w:r>
        <w:t xml:space="preserve">Leads QUENTES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300"/>
        <w:gridCol w:w="900"/>
        <w:gridCol w:w="4060"/>
      </w:tblGrid>
      <w:tr>
        <w:trPr>
          <w:tblHeader/>
        </w:trPr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Empresa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40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Obra / Ação comercial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Petrobras (RNEST)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Ipojuca/PE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Óleo e Gás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Ampliação da refinaria, R$8,3 bi contratados. Contatar suprimentos/engenharia da RNEST.</w:t>
            </w:r>
          </w:p>
        </w:tc>
      </w:tr>
      <w:tr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GLP - Private Log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Serra/ES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Logística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40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Maior condomínio logístico do Brasil (R$2,5 bi). Contatar construtora executora.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Ascenty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Sumaré-Vinhedo/SP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 Center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 data centers em obra desde mar/2026. Contatar construtora responsável.</w:t>
            </w:r>
          </w:p>
        </w:tc>
      </w:tr>
      <w:tr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Complexo de Suape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Ipojuca/PE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Portos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83</w:t>
            </w:r>
          </w:p>
        </w:tc>
        <w:tc>
          <w:tcPr>
            <w:tcW w:type="dxa" w:w="40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Novos berços (Cais 6 e 7), R$600 mi + R$204,5 mi dragagem. Acompanhar edital.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Governo do ES / DER-ES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Região Serrana/ES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Rodovias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80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Duplicação BR-262, R$8,6 bi. Acompanhar edital previsto 2S2026.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t xml:space="preserve">Leads MÉDIOS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300"/>
        <w:gridCol w:w="900"/>
        <w:gridCol w:w="4060"/>
      </w:tblGrid>
      <w:tr>
        <w:trPr>
          <w:tblHeader/>
        </w:trPr>
        <w:tc>
          <w:tcPr>
            <w:tcW w:type="dxa" w:w="1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Empresa</w:t>
            </w:r>
          </w:p>
        </w:tc>
        <w:tc>
          <w:tcPr>
            <w:tcW w:type="dxa" w:w="1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13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40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Obra / Ação comercial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Transnordestina Logística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PI/CE/PE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Ferrovias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78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Trecho até Porto de Pecém em execução acelerada. Contatar consórcio construtor.</w:t>
            </w:r>
          </w:p>
        </w:tc>
      </w:tr>
      <w:tr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FS (Fueling Sustainability)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Campo Novo do Parecis/MT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Agronegócio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75</w:t>
            </w:r>
          </w:p>
        </w:tc>
        <w:tc>
          <w:tcPr>
            <w:tcW w:type="dxa" w:w="40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Usina de etanol de milho, R$2 bi, conclusão dez/2026. Contatar construtora.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Governo de PE / Aeroporto Caruaru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Caruaru/PE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Aeroportos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68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Prolongamento de pista e novo terminal. Proximidade com sede Villa.</w:t>
            </w:r>
          </w:p>
        </w:tc>
      </w:tr>
      <w:tr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Sigma Lithium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Itinga/MG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Mineração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60</w:t>
            </w:r>
          </w:p>
        </w:tc>
        <w:tc>
          <w:tcPr>
            <w:tcW w:type="dxa" w:w="40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Segunda linha industrial de lítio em construção. Contatar empreiteira.</w:t>
            </w:r>
          </w:p>
        </w:tc>
      </w:tr>
      <w:tr>
        <w:tc>
          <w:tcPr>
            <w:tcW w:type="dxa" w:w="1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Votorantim Cimentos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Nobres/MT</w:t>
            </w:r>
          </w:p>
        </w:tc>
        <w:tc>
          <w:tcPr>
            <w:tcW w:type="dxa" w:w="13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Cimento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58</w:t>
            </w:r>
          </w:p>
        </w:tc>
        <w:tc>
          <w:tcPr>
            <w:tcW w:type="dxa" w:w="40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Nova moagem, +60% capacidade, conclusão fim de 2026.</w:t>
            </w:r>
          </w:p>
        </w:tc>
      </w:tr>
      <w:tr>
        <w:tc>
          <w:tcPr>
            <w:tcW w:type="dxa" w:w="1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Diamond Construtora</w:t>
            </w:r>
          </w:p>
        </w:tc>
        <w:tc>
          <w:tcPr>
            <w:tcW w:type="dxa" w:w="1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Fazenda Vilanova/RS</w:t>
            </w:r>
          </w:p>
        </w:tc>
        <w:tc>
          <w:tcPr>
            <w:tcW w:type="dxa" w:w="13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Logística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52</w:t>
            </w:r>
          </w:p>
        </w:tc>
        <w:tc>
          <w:tcPr>
            <w:tcW w:type="dxa" w:w="40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Complexo logístico/industrial em fase de planejamento. Monitorar avanço.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Pilar 2 — Empresas</w:t>
      </w:r>
    </w:p>
    <w:p>
      <w:pPr>
        <w:spacing w:after="60"/>
      </w:pPr>
      <w:r>
        <w:rPr>
          <w:b/>
          <w:bCs/>
        </w:rPr>
        <w:t xml:space="preserve">Movimentações identificadas: </w:t>
      </w:r>
      <w:r>
        <w:t xml:space="preserve">4 (LG Electronics em Fazenda Rio Grande/PR — obra já em fase final; Soprano/SC — novo centro de distribuição R$150 mi; GLP — R$2,1 bi em galpões sem local definido; Kronan — expansão de fábricas)</w:t>
      </w:r>
    </w:p>
    <w:p>
      <w:pPr>
        <w:spacing w:after="60"/>
      </w:pPr>
      <w:r>
        <w:rPr>
          <w:b/>
          <w:bCs/>
        </w:rPr>
        <w:t xml:space="preserve">Leads gerados: </w:t>
      </w:r>
      <w:r>
        <w:t xml:space="preserve">0 — sinais sem obra/local específico suficiente para atingir score ≥ 50 nesta rodada</w:t>
      </w:r>
    </w:p>
    <w:p>
      <w:pPr>
        <w:pStyle w:val="Heading1"/>
        <w:spacing w:after="150" w:before="300"/>
      </w:pPr>
      <w:r>
        <w:t xml:space="preserve">Pilar 3 — Movimentações Estratégicas</w:t>
      </w:r>
    </w:p>
    <w:p>
      <w:pPr>
        <w:spacing w:after="60"/>
      </w:pPr>
      <w:r>
        <w:rPr>
          <w:b/>
          <w:bCs/>
        </w:rPr>
        <w:t xml:space="preserve">Sinais financeiros detectados: </w:t>
      </w:r>
      <w:r>
        <w:t xml:space="preserve">Mercado de debêntures de infraestrutura (R$22,1 bi emitidos em jan-fev/2026); concessão BR-116/251/MG vencida pela EcoRodovias; leilões portuários de fev/2026 (Macapá, Natal, Porto Alegre, Recife); leilão do Aeroporto do Galeão/RJ (30/mar); concessão da Hidrovia do Paraguai prevista para 2S2026</w:t>
      </w:r>
    </w:p>
    <w:p>
      <w:pPr>
        <w:spacing w:after="60"/>
      </w:pPr>
      <w:r>
        <w:rPr>
          <w:b/>
          <w:bCs/>
        </w:rPr>
        <w:t xml:space="preserve">Leads gerados: </w:t>
      </w:r>
      <w:r>
        <w:t xml:space="preserve">0 — projetos em estágio de leilão/concessão, ainda sem obra civil definida; recomenda-se acompanhar na próxima rodada</w:t>
      </w:r>
    </w:p>
    <w:p>
      <w:pPr>
        <w:pStyle w:val="Heading1"/>
        <w:spacing w:after="150" w:before="300"/>
      </w:pPr>
      <w:r>
        <w:t xml:space="preserve">Pilar 4 — Pessoas</w:t>
      </w:r>
    </w:p>
    <w:p>
      <w:pPr>
        <w:spacing w:after="60"/>
      </w:pPr>
      <w:r>
        <w:rPr>
          <w:b/>
          <w:bCs/>
        </w:rPr>
        <w:t xml:space="preserve">Mudanças de cargo identificadas: </w:t>
      </w:r>
      <w:r>
        <w:t xml:space="preserve">Nenhuma nomeação estrategicamente relevante e vinculada a obra concreta nesta rodada</w:t>
      </w:r>
    </w:p>
    <w:p>
      <w:pPr>
        <w:spacing w:after="60"/>
      </w:pPr>
      <w:r>
        <w:rPr>
          <w:b/>
          <w:bCs/>
        </w:rPr>
        <w:t xml:space="preserve">Oportunidades de relacionamento: </w:t>
      </w:r>
      <w:r>
        <w:t xml:space="preserve">0 — observação: a Diretoria de Relações Institucionais de Suape (nomeação de ago/2025) é um contato útil para o lead de Cais 6 e 7, já registrado no Pilar 1</w:t>
      </w:r>
    </w:p>
    <w:p>
      <w:pPr>
        <w:pStyle w:val="Heading1"/>
        <w:spacing w:after="150" w:before="300"/>
      </w:pPr>
      <w:r>
        <w:t xml:space="preserve">Total Registrado no CRM</w:t>
      </w:r>
    </w:p>
    <w:p>
      <w:pPr>
        <w:spacing w:after="100"/>
      </w:pPr>
      <w:r>
        <w:rPr>
          <w:b/>
          <w:bCs/>
        </w:rPr>
        <w:t xml:space="preserve">11 leads criados com sucesso na Central de Inteligência (Dossiês Comerciais / Oportunidades).</w:t>
      </w:r>
    </w:p>
    <w:p>
      <w:pPr>
        <w:pStyle w:val="Heading1"/>
        <w:spacing w:after="150" w:before="300"/>
      </w:pPr>
      <w:r>
        <w:t xml:space="preserve">Top 3 Oportunidades da Semana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900"/>
        <w:gridCol w:w="3260"/>
      </w:tblGrid>
      <w:tr>
        <w:trPr>
          <w:tblHeader/>
        </w:trPr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Empresa/Obra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Local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Segmento</w:t>
            </w:r>
          </w:p>
        </w:tc>
        <w:tc>
          <w:tcPr>
            <w:tcW w:type="dxa" w:w="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326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Petrobras (RNEST)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Ipojuca/PE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Óleo e Gás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95</w:t>
            </w:r>
          </w:p>
        </w:tc>
        <w:tc>
          <w:tcPr>
            <w:tcW w:type="dxa" w:w="32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Maior projeto industrial do Nordeste em 2026: R$8,3 bi, dobra de capacidade, altíssimo volume de concreto estrutural</w:t>
            </w:r>
          </w:p>
        </w:tc>
      </w:tr>
      <w:tr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GLP — Private Log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Serra/ES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Logística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88</w:t>
            </w:r>
          </w:p>
        </w:tc>
        <w:tc>
          <w:tcPr>
            <w:tcW w:type="dxa" w:w="3260"/>
            <w:shd w:fill="F2F2F2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Maior condomínio logístico do Brasil (620 mil m² de ABL, R$2,5 bi); 1ª fase com entrega em 2026</w:t>
            </w:r>
          </w:p>
        </w:tc>
      </w:tr>
      <w:tr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Ascenty</w:t>
            </w:r>
          </w:p>
        </w:tc>
        <w:tc>
          <w:tcPr>
            <w:tcW w:type="dxa" w:w="26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Sumaré-Vinhedo/SP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Data Center</w:t>
            </w:r>
          </w:p>
        </w:tc>
        <w:tc>
          <w:tcPr>
            <w:tcW w:type="dxa" w:w="90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85</w:t>
            </w:r>
          </w:p>
        </w:tc>
        <w:tc>
          <w:tcPr>
            <w:tcW w:type="dxa" w:w="3260"/>
            <w:shd w:fill="FFFFFF" w:val="clear"/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 data centers em construção simultânea, fundações e infraestrutura pesada, ~600 empregos no pico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Valor Potencial Estimado Total</w:t>
      </w:r>
    </w:p>
    <w:p>
      <w:pPr>
        <w:spacing w:after="100"/>
      </w:pPr>
      <w:r>
        <w:t xml:space="preserve">R$ 11.300.000 em potencial de oportunidade comercial direta para a Villa (soma do campo potencialOportunidade dos 11 leads registrados). Este valor refere-se ao potencial de receita com locação/venda de equipamentos — não deve ser confundido com o valor total das obras mapeadas, que somam mais de R$ 20 bilhões em investimento.</w:t>
      </w:r>
    </w:p>
    <w:p>
      <w:pPr>
        <w:pStyle w:val="Heading1"/>
        <w:spacing w:after="150" w:before="300"/>
      </w:pPr>
      <w:r>
        <w:t xml:space="preserve">Regiões com Maior Atividade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Pernambuco (PE) — 3 leads: RNEST, Cais 6/7 de Suape, Aeroporto de Caruaru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Mato Grosso (MT) — 2 leads: Usina FS e Votorantim Cimentos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Espírito Santo (ES) — 2 leads: Private Log e BR-262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São Paulo (SP), Ceará (CE), Minas Gerais (MG) e Rio Grande do Sul (RS) — 1 lead cada</w:t>
      </w:r>
    </w:p>
    <w:p>
      <w:pPr>
        <w:pStyle w:val="Heading1"/>
        <w:spacing w:after="150" w:before="300"/>
      </w:pPr>
      <w:r>
        <w:t xml:space="preserve">Próximas Ações Sugeridas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Priorizar contato comercial imediato com os 5 leads QUENTES (score ≥ 80), começando por RNEST, Private Log e Ascenty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Acompanhar a publicação do edital da BR-262/ES, prevista para o 2º semestre de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Acompanhar o edital de contratação da obra dos Cais 6 e 7 de Suape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Reavaliar a fábrica de celulose da Bracell em Bataguassu/MS em rodadas futuras — projeto de US$4 bi ainda sem licença de instalação, obras possivelmente adiadas para 2027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Confirmar em Configurações do Cowork se o domínio villa-crm.vercel.app está permanentemente liberado no allowlist de rede — nesta rodada os POSTs de criação de dossiê funcionaram normalmente (HTTP 201)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Nos Pilares 2 e 3, aprofundar buscas com nomes de empresas específicas e localização de obra na próxima rodada, para elevar a taxa de qualificação de leads</w:t>
      </w:r>
    </w:p>
    <w:p>
      <w:pPr>
        <w:spacing w:after="200"/>
      </w:pPr>
    </w:p>
    <w:p>
      <w:r>
        <w:rPr>
          <w:i/>
          <w:iCs/>
          <w:color w:val="888888"/>
          <w:sz w:val="18"/>
          <w:szCs w:val="18"/>
        </w:rPr>
        <w:t xml:space="preserve">Radar João — 4 Pilares + Segmentos Setoriais Ampliados — Brasil completo — semana de 20/07/2026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2026-07-20T12:18:01.313Z</dcterms:created>
  <dcterms:modified xsi:type="dcterms:W3CDTF">2026-07-20T12:18:01.314Z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