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RADAR JOÃO</w:t>
      </w:r>
    </w:p>
    <w:p>
      <w:pPr>
        <w:spacing w:after="60"/>
      </w:pPr>
      <w:r>
        <w:rPr>
          <w:i/>
          <w:iCs/>
          <w:sz w:val="24"/>
          <w:szCs w:val="24"/>
        </w:rPr>
        <w:t xml:space="preserve">Inteligência Comercial — Villa Empreendimentos</w:t>
      </w:r>
    </w:p>
    <w:p>
      <w:pPr>
        <w:pBdr>
          <w:bottom w:val="single" w:color="999999" w:sz="6" w:space="8"/>
        </w:pBdr>
        <w:spacing w:after="200"/>
      </w:pPr>
      <w:r>
        <w:rPr>
          <w:sz w:val="22"/>
          <w:szCs w:val="22"/>
        </w:rPr>
        <w:t xml:space="preserve">Resumo executivo da semana — 14 de setembro de 2026</w:t>
      </w:r>
    </w:p>
    <w:p>
      <w:pPr>
        <w:pStyle w:val="Heading1"/>
        <w:spacing w:after="150" w:before="300"/>
      </w:pPr>
      <w:r>
        <w:t xml:space="preserve">Pilar 1 — Obras (incluindo segmentos setoriais ampliados)</w:t>
      </w:r>
    </w:p>
    <w:p>
      <w:pPr>
        <w:spacing w:after="120"/>
      </w:pPr>
      <w:r>
        <w:rPr>
          <w:b w:val="false"/>
          <w:bCs w:val="false"/>
        </w:rPr>
        <w:t xml:space="preserve">Obras/oportunidades analisadas: 18 candidatas, cobrindo Nordeste, Sudeste, Sul, Centro-Oeste e Norte (rodovias, ferrovias, portos, aeroportos, mineração, energia, celulose, saneamento, óleo e gás, data centers, siderurgia/cimento, condomínios logísticos e agronegócio).</w:t>
      </w:r>
    </w:p>
    <w:p>
      <w:pPr>
        <w:spacing w:after="120"/>
      </w:pPr>
      <w:r>
        <w:rPr>
          <w:b w:val="false"/>
          <w:bCs w:val="false"/>
        </w:rPr>
        <w:t xml:space="preserve">Qualificadas (score ≥ 50) e registradas no CRM: 7</w:t>
      </w:r>
    </w:p>
    <w:p>
      <w:pPr>
        <w:spacing w:after="120"/>
      </w:pPr>
      <w:r>
        <w:rPr>
          <w:b w:val="false"/>
          <w:bCs w:val="false"/>
        </w:rPr>
        <w:t xml:space="preserve">Leads QUENTES: 1   |   Leads MÉDIOS: 6</w:t>
      </w:r>
    </w:p>
    <w:p>
      <w:pPr>
        <w:spacing w:after="120"/>
      </w:pPr>
      <w:r>
        <w:rPr>
          <w:b w:val="false"/>
          <w:bCs w:val="false"/>
        </w:rPr>
        <w:t xml:space="preserve">Segmentos com mais achados nesta rodada: Data centers, Rodovias/Concessões, Condomínios logísticos, Siderurgia e Cimento.</w:t>
      </w:r>
    </w:p>
    <w:p>
      <w:pPr>
        <w:pStyle w:val="Heading1"/>
        <w:spacing w:after="150" w:before="300"/>
      </w:pPr>
      <w:r>
        <w:t xml:space="preserve">Pilar 2 — Empresas</w:t>
      </w:r>
    </w:p>
    <w:p>
      <w:pPr>
        <w:spacing w:after="120"/>
      </w:pPr>
      <w:r>
        <w:rPr>
          <w:b w:val="false"/>
          <w:bCs w:val="false"/>
        </w:rPr>
        <w:t xml:space="preserve">Movimentações identificadas: 4 (Kronan — expansão para até 3 novas fábricas em 2026; GLP — R$ 2,1 bi em novos galpões logísticos no Brasil; GAC — centro de distribuição em Cajamar/SP; nova fábrica de alimentos 4.0 em Santa Catarina).</w:t>
      </w:r>
    </w:p>
    <w:p>
      <w:pPr>
        <w:spacing w:after="120"/>
      </w:pPr>
      <w:r>
        <w:rPr>
          <w:b w:val="false"/>
          <w:bCs w:val="false"/>
        </w:rPr>
        <w:t xml:space="preserve">Leads gerados: 0 — nenhuma movimentação trouxe localização e volume de obra suficientemente definidos para ultrapassar o score mínimo nesta rodada; seguem em observação.</w:t>
      </w:r>
    </w:p>
    <w:p>
      <w:pPr>
        <w:pStyle w:val="Heading1"/>
        <w:spacing w:after="150" w:before="300"/>
      </w:pPr>
      <w:r>
        <w:t xml:space="preserve">Pilar 3 — Movimentações Estratégicas</w:t>
      </w:r>
    </w:p>
    <w:p>
      <w:pPr>
        <w:spacing w:after="120"/>
      </w:pPr>
      <w:r>
        <w:rPr>
          <w:b w:val="false"/>
          <w:bCs w:val="false"/>
        </w:rPr>
        <w:t xml:space="preserve">Sinais financeiros detectados: 3 (mercado de debêntures de infraestrutura em queda frente a 2025 — R$ 14,8 bi emitidos até agora; calendário de leilões PPI somando R$ 247 bi até o fim de 2026; leilão de concessão BR-262/MG marcado para 31/10/2026).</w:t>
      </w:r>
    </w:p>
    <w:p>
      <w:pPr>
        <w:spacing w:after="120"/>
      </w:pPr>
      <w:r>
        <w:rPr>
          <w:b w:val="false"/>
          <w:bCs w:val="false"/>
        </w:rPr>
        <w:t xml:space="preserve">Leads gerados: 0 diretamente — a concessão BR-262/MG foi registrada no Pilar 1 (Rodovias), por já ter obra e volume de concreto associados.</w:t>
      </w:r>
    </w:p>
    <w:p>
      <w:pPr>
        <w:pStyle w:val="Heading1"/>
        <w:spacing w:after="150" w:before="300"/>
      </w:pPr>
      <w:r>
        <w:t xml:space="preserve">Pilar 4 — Pessoas</w:t>
      </w:r>
    </w:p>
    <w:p>
      <w:pPr>
        <w:spacing w:after="120"/>
      </w:pPr>
      <w:r>
        <w:rPr>
          <w:b w:val="false"/>
          <w:bCs w:val="false"/>
        </w:rPr>
        <w:t xml:space="preserve">Mudanças de cargo identificadas: apenas nomeações institucionais/públicas (analistas de infraestrutura do governo federal, secretário de Obras de Cuiabá, diretoria da ABECE 2024-2026) — nenhuma nomeação de diretor de obras/engenharia em construtora de porte relevante para a Villa nesta rodada.</w:t>
      </w:r>
    </w:p>
    <w:p>
      <w:pPr>
        <w:spacing w:after="120"/>
      </w:pPr>
      <w:r>
        <w:rPr>
          <w:b w:val="false"/>
          <w:bCs w:val="false"/>
        </w:rPr>
        <w:t xml:space="preserve">Oportunidades de relacionamento geradas: 0</w:t>
      </w:r>
    </w:p>
    <w:p>
      <w:pPr>
        <w:pStyle w:val="Heading1"/>
        <w:spacing w:after="150" w:before="300"/>
      </w:pPr>
      <w:r>
        <w:t xml:space="preserve">Total registrado no CRM</w:t>
      </w:r>
    </w:p>
    <w:p>
      <w:pPr>
        <w:spacing w:after="120"/>
      </w:pPr>
      <w:r>
        <w:rPr>
          <w:b w:val="false"/>
          <w:bCs w:val="false"/>
        </w:rPr>
        <w:t xml:space="preserve">7 leads (0 duplicatas, 1 erro de schema corrigido em tempo real — campo cnpj vazio colidindo com restrição de unicidade; contornado omitindo o campo quando o CNPJ não está disponível).</w:t>
      </w:r>
    </w:p>
    <w:p>
      <w:pPr>
        <w:pStyle w:val="Heading1"/>
        <w:spacing w:after="150" w:before="300"/>
      </w:pPr>
      <w:r>
        <w:t xml:space="preserve">Leads registrados nesta rodada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Scala AI City (Data Center) — Eldorado do Sul/RS — Score 88 — QUENTE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Concessão Rota Agro — BR-163/BR-230 (MT/PA) — Score 75 — MÉDIA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Duplicação BR-262/ES — Lote 1 — Vitória/ES — Score 72 — MÉDIA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Concessão BR-262/MG — trecho Betim-Uberaba — Score 72 — MÉDIA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Private Log (Condomínio Logístico) — Serra/ES — Score 68 — MÉDIA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Florianópolis (Condomínio Logístico) — Florianópolis/SC — Score 65 — MÉDIA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Votorantim Cimentos — expansão fábrica Edealina/GO — Score 55 — MÉDIA</w:t>
      </w:r>
    </w:p>
    <w:p>
      <w:pPr>
        <w:pStyle w:val="Heading1"/>
        <w:spacing w:after="150" w:before="300"/>
      </w:pPr>
      <w:r>
        <w:t xml:space="preserve">Top 3 oportunidades da semana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Scala AI City — Eldorado do Sul/RS — Score 88 — maior projeto de infraestrutura digital da América do Sul (terreno de 700 hectares, R$ 3 bi na fase 1, até R$ 300 bi no total); obras de fundação e subestações já em andamento.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Concessão Rota Agro (BR-163/BR-230) — MT/PA — Score 75 — R$ 7,6 bi em investimentos, 320 km de duplicação e 14 contornos urbanos; leilão em 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Duplicação BR-262/ES Lote 1 — Vitória/ES — Score 72 — R$ 3 bi, 34,9 km com 4 túneis, 28 pontes e 50 viadutos no trecho completo; licitação de supervisão em andamento.</w:t>
      </w:r>
    </w:p>
    <w:p>
      <w:pPr>
        <w:pStyle w:val="Heading1"/>
        <w:spacing w:after="150" w:before="300"/>
      </w:pPr>
      <w:r>
        <w:t xml:space="preserve">Valor potencial estimado total</w:t>
      </w:r>
    </w:p>
    <w:p>
      <w:pPr>
        <w:spacing w:after="120"/>
      </w:pPr>
      <w:r>
        <w:rPr>
          <w:b w:val="false"/>
          <w:bCs w:val="false"/>
        </w:rPr>
        <w:t xml:space="preserve">R$ 6.900.000 (soma do potencial de oportunidade estimado nos 7 leads registrados nesta rodada).</w:t>
      </w:r>
    </w:p>
    <w:p>
      <w:pPr>
        <w:pStyle w:val="Heading1"/>
        <w:spacing w:after="150" w:before="300"/>
      </w:pPr>
      <w:r>
        <w:t xml:space="preserve">Regiões com maior atividade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Sudeste (ES, MG) — 3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Sul (RS, SC) — 2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Centro-Oeste/Norte (MT/PA, GO) — 2 leads</w:t>
      </w:r>
    </w:p>
    <w:p>
      <w:pPr>
        <w:pStyle w:val="Heading1"/>
        <w:spacing w:after="150" w:before="300"/>
      </w:pPr>
      <w:r>
        <w:t xml:space="preserve">Próximas ações sugeridas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Priorizar contato comercial com a Scala Data Centers (RS) assim que o EPC/construtora da fase 1 da AI City for divulgado publicamente — maior score da rodada.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Acompanhar o lançamento do edital de execução da BR-262/ES Lote 1 e o leilão da BR-262/MG (31/10/2026) para antecipar contato com as futuras construtoras/concessionárias.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Monitorar o leilão de concessão Rota Agro (BR-163/BR-230, MT/PA) ao longo de 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Contatar a Private Construtora (ES) e a LOG Commercial Properties (SC) para oferecer fornecimento nas próximas fases dos condomínios logísticos (Private Log ainda tem 3 fases futuras).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PNCP (pncp.gov.br) segue bloqueado pelo allowlist de rede do ambiente Cowork (403 blocked-by-allowlist); villa-crm.vercel.app segue liberado e funcionando normalmente (todas as chamadas desta rodada retornaram HTTP 200/201). Recomenda-se liberar também pncp.gov.br para permitir consulta direta à API de licitações nas próximas rodadas.</w:t>
      </w:r>
    </w:p>
    <w:p>
      <w:pPr>
        <w:pStyle w:val="Heading1"/>
        <w:spacing w:after="150" w:before="300"/>
      </w:pPr>
      <w:r>
        <w:t xml:space="preserve">Achados monitorados — não registrados nesta rodada</w:t>
      </w:r>
    </w:p>
    <w:p>
      <w:pPr>
        <w:spacing w:after="120"/>
      </w:pPr>
      <w:r>
        <w:rPr>
          <w:b w:val="false"/>
          <w:bCs w:val="false"/>
        </w:rPr>
        <w:t xml:space="preserve">Identificados e avaliados, mas abaixo do padrão de qualidade/prazo desta rodada. Ficam para acompanhamento nas próximas semanas: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Bracell — nova fábrica de celulose em Bataguassu/MS (US$ 4 bi) — obras adiadas para 2027 por pendência de licença ambiental.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APM Terminals Suape (PE) — terminal 100% eletrificado, R$ 2,1 bi — obra em fase final, baixo potencial de nova demanda de concreto.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Transnordestina / FIOL / FICO / Ferrogrão — obras ferroviárias estratégicas seguem em andamento, mas sem trecho/empresa específicos novos nesta rodada.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Vale — CAPEX de US$ 5,7 bi para 2026 em minério de ferro, cobre e níquel — sem obra/local específico divulgado.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GLP — R$ 2,1 bi em novos galpões logísticos no Brasil — sem localização específica divulgada.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Leilão AmpliAR — 10 aeroportos regionais, R$ 857,8 milhões — leilão previsto para dezembro/2026, ainda distante.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Radar João — 4 Pilares + Segmentos Setoriais Ampliados — Brasil completo — semana de 2026-09-14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2026-09-14T11:11:07.417Z</dcterms:created>
  <dcterms:modified xsi:type="dcterms:W3CDTF">2026-09-14T11:11:07.425Z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