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Payment Schedule</w:t>
      </w:r>
    </w:p>
    <w:p>
      <w:r>
        <w:t xml:space="preserve">Deposit</w:t>
      </w:r>
      <w:r>
        <w:tab/>
      </w:r>
      <w:r>
        <w:t xml:space="preserve">25% at signing</w:t>
      </w:r>
      <w:r>
        <w:br/>
      </w:r>
      <w:r>
        <w:t xml:space="preserve">Balance</w:t>
      </w:r>
      <w:r>
        <w:tab/>
      </w:r>
      <w:r>
        <w:t xml:space="preserve">due 30 days prior</w:t>
      </w:r>
    </w:p>
    <w:p>
      <w:pPr>
        <w:pStyle w:val="Heading1"/>
      </w:pPr>
      <w:r>
        <w:t xml:space="preserve">2. Definitions</w:t>
      </w:r>
    </w:p>
    <w:p>
      <w:r>
        <w:t xml:space="preserve">The “Group” shall mean the party identified above. Rates are non‑commissionable. </w:t>
      </w:r>
      <w:r>
        <w:t xml:space="preserve">Hotel will use rea­sonable efforts to resell. Attrition is measured at 90 % of the block.</w:t>
      </w:r>
    </w:p>
    <w:p>
      <w:pPr>
        <w:pStyle w:val="Heading1"/>
      </w:pPr>
      <w:r>
        <w:t xml:space="preserve">3. Symbols</w:t>
      </w:r>
    </w:p>
    <w:p>
      <w:r>
        <w:t xml:space="preserve">Deliverables: ☐ signed contract ☐ deposit → confirmation • final rooming list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