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Cancellation Schedule</w:t>
      </w:r>
    </w:p>
    <w:p>
      <w:r>
        <w:t xml:space="preserve">Damages are assessed per the following schedule: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Days Prior to Arrival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Damages (% of Room Revenue)</w:t>
            </w:r>
          </w:p>
        </w:tc>
      </w:tr>
      <w:tr>
        <w:tc>
          <w:tcPr>
            <w:tcW w:w="3000" w:type="dxa"/>
          </w:tcPr>
          <w:p>
            <w:r>
              <w:t xml:space="preserve">365 or more</w:t>
            </w:r>
          </w:p>
        </w:tc>
        <w:tc>
          <w:tcPr>
            <w:tcW w:w="3000" w:type="dxa"/>
          </w:tcPr>
          <w:p>
            <w:r>
              <w:t xml:space="preserve">25%</w:t>
            </w:r>
          </w:p>
        </w:tc>
      </w:tr>
      <w:tr>
        <w:tc>
          <w:tcPr>
            <w:tcW w:w="3000" w:type="dxa"/>
          </w:tcPr>
          <w:p>
            <w:r>
              <w:t xml:space="preserve">364 to 181</w:t>
            </w:r>
          </w:p>
        </w:tc>
        <w:tc>
          <w:tcPr>
            <w:tcW w:w="3000" w:type="dxa"/>
          </w:tcPr>
          <w:p>
            <w:r>
              <w:t xml:space="preserve">50%</w:t>
            </w:r>
          </w:p>
        </w:tc>
      </w:tr>
      <w:tr>
        <w:tc>
          <w:tcPr>
            <w:tcW w:w="3000" w:type="dxa"/>
          </w:tcPr>
          <w:p>
            <w:r>
              <w:t xml:space="preserve">180 to 91</w:t>
            </w:r>
          </w:p>
        </w:tc>
        <w:tc>
          <w:tcPr>
            <w:tcW w:w="3000" w:type="dxa"/>
          </w:tcPr>
          <w:p>
            <w:r>
              <w:t xml:space="preserve">75%</w:t>
            </w:r>
          </w:p>
        </w:tc>
      </w:tr>
      <w:tr>
        <w:tc>
          <w:tcPr>
            <w:tcW w:w="3000" w:type="dxa"/>
          </w:tcPr>
          <w:p>
            <w:r>
              <w:t xml:space="preserve">90 to 31</w:t>
            </w:r>
          </w:p>
        </w:tc>
        <w:tc>
          <w:tcPr>
            <w:tcW w:w="3000" w:type="dxa"/>
          </w:tcPr>
          <w:p>
            <w:r>
              <w:t xml:space="preserve">90%</w:t>
            </w:r>
          </w:p>
        </w:tc>
      </w:tr>
      <w:tr>
        <w:tc>
          <w:tcPr>
            <w:tcW w:w="3000" w:type="dxa"/>
          </w:tcPr>
          <w:p>
            <w:r>
              <w:t xml:space="preserve">30 or fewer</w:t>
            </w:r>
          </w:p>
        </w:tc>
        <w:tc>
          <w:tcPr>
            <w:tcW w:w="3000" w:type="dxa"/>
          </w:tcPr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2. Attrition Sliding Scale</w:t>
      </w:r>
    </w:p>
    <w:p>
      <w:r>
        <w:t xml:space="preserve">Room block attrition is assessed as follows: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Actual Pickup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Liability</w:t>
            </w:r>
          </w:p>
        </w:tc>
      </w:tr>
      <w:tr>
        <w:tc>
          <w:tcPr>
            <w:tcW w:w="3000" w:type="dxa"/>
          </w:tcPr>
          <w:p>
            <w:r>
              <w:t xml:space="preserve">90% or greater</w:t>
            </w:r>
          </w:p>
        </w:tc>
        <w:tc>
          <w:tcPr>
            <w:tcW w:w="3000" w:type="dxa"/>
          </w:tcPr>
          <w:p>
            <w:r>
              <w:t xml:space="preserve">None</w:t>
            </w:r>
          </w:p>
        </w:tc>
      </w:tr>
      <w:tr>
        <w:tc>
          <w:tcPr>
            <w:tcW w:w="3000" w:type="dxa"/>
          </w:tcPr>
          <w:p>
            <w:r>
              <w:t xml:space="preserve">80% to 89%</w:t>
            </w:r>
          </w:p>
        </w:tc>
        <w:tc>
          <w:tcPr>
            <w:tcW w:w="3000" w:type="dxa"/>
          </w:tcPr>
          <w:p>
            <w:r>
              <w:t xml:space="preserve">50% of shortfall</w:t>
            </w:r>
          </w:p>
        </w:tc>
      </w:tr>
      <w:tr>
        <w:tc>
          <w:tcPr>
            <w:tcW w:w="3000" w:type="dxa"/>
          </w:tcPr>
          <w:p>
            <w:r>
              <w:t xml:space="preserve">70% to 79%</w:t>
            </w:r>
          </w:p>
        </w:tc>
        <w:tc>
          <w:tcPr>
            <w:tcW w:w="3000" w:type="dxa"/>
          </w:tcPr>
          <w:p>
            <w:r>
              <w:t xml:space="preserve">80% of shortfall</w:t>
            </w:r>
          </w:p>
        </w:tc>
      </w:tr>
      <w:tr>
        <w:tc>
          <w:tcPr>
            <w:tcW w:w="3000" w:type="dxa"/>
          </w:tcPr>
          <w:p>
            <w:r>
              <w:t xml:space="preserve">Below 70%</w:t>
            </w:r>
          </w:p>
        </w:tc>
        <w:tc>
          <w:tcPr>
            <w:tcW w:w="3000" w:type="dxa"/>
          </w:tcPr>
          <w:p>
            <w:r>
              <w:t xml:space="preserve">100% of shortfall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