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r>
        <w:t xml:space="preserve">The terms set out in the header and footer of this document form part of this Agreement.</w:t>
      </w:r>
    </w:p>
    <w:p>
      <w:pPr>
        <w:pStyle w:val="Heading1"/>
      </w:pPr>
      <w:r>
        <w:t xml:space="preserve">1. Room Block</w:t>
      </w:r>
    </w:p>
    <w:p>
      <w:r>
        <w:t xml:space="preserve">Client agrees to a room block of two hundred (200) rooms at $329.00 per night.</w:t>
      </w:r>
    </w:p>
    <w:sectPr>
      <w:headerReference w:type="default" r:id="rId2"/>
      <w:footerReference w:type="default" r:id="rId3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Cancellation notices must be delivered in writing to the Director of Sales. Late notice incurs one hundred percent (100%) of anticipated room revenue.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Harborview Grand Hotel - Group Agreement. Room block cutoff: thirty (30) days prior to arrival.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