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Attrition</w:t>
      </w:r>
    </w:p>
    <w:p>
      <w:r>
        <w:t xml:space="preserve">Group shall be liable for eighty percent (80%) of the group rate for unsold rooms.</w:t>
      </w:r>
    </w:p>
    <w:p>
      <w:pPr>
        <w:pStyle w:val="Heading1"/>
      </w:pPr>
      <w:r>
        <w:t xml:space="preserve">2. Cancellation</w:t>
      </w:r>
    </w:p>
    <w:p>
      <w:r>
        <w:t xml:space="preserve">Cancellation damages are eighty percent (80%) of anticipated room revenue.</w:t>
      </w:r>
    </w:p>
    <w:p>
      <w:pPr>
        <w:pStyle w:val="Heading1"/>
      </w:pPr>
      <w:r>
        <w:t xml:space="preserve">3. Food and Beverage</w:t>
      </w:r>
    </w:p>
    <w:p>
      <w:r>
        <w:t xml:space="preserve">Any F&amp;B shortfall is billed at eighty percent (80%) of the contracted minimum.</w:t>
      </w:r>
    </w:p>
    <w:p>
      <w:pPr>
        <w:pStyle w:val="Heading1"/>
      </w:pPr>
      <w:r>
        <w:t xml:space="preserve">4. No-Show Rooms</w:t>
      </w:r>
    </w:p>
    <w:p>
      <w:r>
        <w:t xml:space="preserve">No-show rooms are charged at eighty percent (80%) of the group rate.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