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85" w:rsidRPr="00034C86" w:rsidRDefault="004F0585" w:rsidP="004F0585">
      <w:pPr>
        <w:shd w:val="clear" w:color="auto" w:fill="FFFFFF" w:themeFill="background1"/>
        <w:spacing w:after="200" w:line="360" w:lineRule="auto"/>
        <w:jc w:val="center"/>
        <w:rPr>
          <w:noProof/>
        </w:rPr>
      </w:pPr>
      <w:r w:rsidRPr="00034C86">
        <w:rPr>
          <w:noProof/>
        </w:rPr>
        <w:drawing>
          <wp:inline distT="0" distB="0" distL="0" distR="0">
            <wp:extent cx="733425" cy="704850"/>
            <wp:effectExtent l="0" t="0" r="9525" b="0"/>
            <wp:docPr id="1" name="Kép 1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C86">
        <w:rPr>
          <w:noProof/>
        </w:rPr>
        <w:tab/>
      </w:r>
    </w:p>
    <w:p w:rsidR="00343888" w:rsidRPr="004F0585" w:rsidRDefault="004F0585" w:rsidP="004F0585">
      <w:pPr>
        <w:shd w:val="clear" w:color="auto" w:fill="FFFFFF" w:themeFill="background1"/>
        <w:spacing w:after="200" w:line="360" w:lineRule="auto"/>
        <w:jc w:val="center"/>
        <w:rPr>
          <w:b/>
          <w:noProof/>
          <w:sz w:val="32"/>
          <w:szCs w:val="32"/>
        </w:rPr>
      </w:pPr>
      <w:r w:rsidRPr="00034C86">
        <w:rPr>
          <w:b/>
          <w:noProof/>
          <w:sz w:val="32"/>
          <w:szCs w:val="32"/>
        </w:rPr>
        <w:t>NEMZETI VIZSGABIZOTTSÁG</w:t>
      </w:r>
    </w:p>
    <w:p w:rsidR="00343888" w:rsidRPr="00A72681" w:rsidRDefault="00343888" w:rsidP="00343888">
      <w:pPr>
        <w:spacing w:line="276" w:lineRule="auto"/>
        <w:jc w:val="center"/>
        <w:rPr>
          <w:b/>
        </w:rPr>
      </w:pPr>
      <w:r w:rsidRPr="00A72681">
        <w:rPr>
          <w:b/>
        </w:rPr>
        <w:t>LICENC VIZSGANAPTÁR</w:t>
      </w:r>
    </w:p>
    <w:p w:rsidR="00343888" w:rsidRDefault="00343888" w:rsidP="00343888">
      <w:pPr>
        <w:spacing w:line="276" w:lineRule="auto"/>
        <w:jc w:val="center"/>
        <w:rPr>
          <w:b/>
        </w:rPr>
      </w:pPr>
    </w:p>
    <w:tbl>
      <w:tblPr>
        <w:tblW w:w="9360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5040"/>
        <w:gridCol w:w="3181"/>
      </w:tblGrid>
      <w:tr w:rsidR="00343888" w:rsidRPr="008E33B9" w:rsidTr="00BB16F8">
        <w:trPr>
          <w:trHeight w:val="840"/>
        </w:trPr>
        <w:tc>
          <w:tcPr>
            <w:tcW w:w="9360" w:type="dxa"/>
            <w:gridSpan w:val="3"/>
            <w:vAlign w:val="center"/>
          </w:tcPr>
          <w:p w:rsidR="00343888" w:rsidRDefault="00343888" w:rsidP="00A80EB9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Licenc</w:t>
            </w:r>
            <w:r w:rsidRPr="008E33B9">
              <w:rPr>
                <w:b/>
                <w:bCs/>
              </w:rPr>
              <w:t xml:space="preserve"> vizsgaidőszaka: 20</w:t>
            </w:r>
            <w:r w:rsidR="006D0501">
              <w:rPr>
                <w:b/>
                <w:bCs/>
              </w:rPr>
              <w:t>2</w:t>
            </w:r>
            <w:r w:rsidR="00753846">
              <w:rPr>
                <w:b/>
                <w:bCs/>
              </w:rPr>
              <w:t>3</w:t>
            </w:r>
            <w:r w:rsidRPr="008E33B9">
              <w:rPr>
                <w:b/>
                <w:bCs/>
              </w:rPr>
              <w:t xml:space="preserve">. </w:t>
            </w:r>
            <w:r w:rsidR="005E756C">
              <w:rPr>
                <w:b/>
                <w:bCs/>
              </w:rPr>
              <w:t>ő</w:t>
            </w:r>
            <w:bookmarkStart w:id="0" w:name="_GoBack"/>
            <w:bookmarkEnd w:id="0"/>
            <w:r w:rsidR="00BB16F8">
              <w:rPr>
                <w:b/>
                <w:bCs/>
              </w:rPr>
              <w:t>szi</w:t>
            </w:r>
            <w:r w:rsidR="00FC658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vizsgaidőszakra</w:t>
            </w:r>
          </w:p>
          <w:p w:rsidR="00343888" w:rsidRPr="008E33B9" w:rsidRDefault="00B35A1B" w:rsidP="005E756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BB16F8">
              <w:rPr>
                <w:b/>
                <w:bCs/>
              </w:rPr>
              <w:t>202</w:t>
            </w:r>
            <w:r w:rsidR="00753846">
              <w:rPr>
                <w:b/>
                <w:bCs/>
              </w:rPr>
              <w:t>3</w:t>
            </w:r>
            <w:r w:rsidR="00BB16F8">
              <w:rPr>
                <w:b/>
                <w:bCs/>
              </w:rPr>
              <w:t xml:space="preserve">. </w:t>
            </w:r>
            <w:r w:rsidR="005E756C">
              <w:rPr>
                <w:b/>
                <w:bCs/>
              </w:rPr>
              <w:t>október</w:t>
            </w:r>
            <w:r w:rsidR="00BB16F8">
              <w:rPr>
                <w:b/>
                <w:bCs/>
              </w:rPr>
              <w:t xml:space="preserve"> </w:t>
            </w:r>
            <w:r w:rsidR="007E6652">
              <w:rPr>
                <w:b/>
                <w:bCs/>
              </w:rPr>
              <w:t>01</w:t>
            </w:r>
            <w:r w:rsidR="00BB16F8">
              <w:rPr>
                <w:b/>
                <w:bCs/>
              </w:rPr>
              <w:t xml:space="preserve">.- </w:t>
            </w:r>
            <w:r w:rsidR="005E756C">
              <w:rPr>
                <w:b/>
                <w:bCs/>
              </w:rPr>
              <w:t>november</w:t>
            </w:r>
            <w:r w:rsidR="00BB16F8">
              <w:rPr>
                <w:b/>
                <w:bCs/>
              </w:rPr>
              <w:t xml:space="preserve"> 3</w:t>
            </w:r>
            <w:r w:rsidR="005E756C">
              <w:rPr>
                <w:b/>
                <w:bCs/>
              </w:rPr>
              <w:t>0</w:t>
            </w:r>
            <w:r w:rsidR="00BB16F8">
              <w:rPr>
                <w:b/>
                <w:bCs/>
              </w:rPr>
              <w:t>.)</w:t>
            </w:r>
          </w:p>
        </w:tc>
      </w:tr>
      <w:tr w:rsidR="00343888" w:rsidRPr="00514692" w:rsidTr="00A80EB9">
        <w:tc>
          <w:tcPr>
            <w:tcW w:w="1139" w:type="dxa"/>
            <w:shd w:val="clear" w:color="auto" w:fill="auto"/>
          </w:tcPr>
          <w:p w:rsidR="00343888" w:rsidRPr="00514692" w:rsidRDefault="00343888" w:rsidP="00A80EB9">
            <w:pPr>
              <w:spacing w:line="360" w:lineRule="auto"/>
              <w:jc w:val="center"/>
              <w:rPr>
                <w:b/>
              </w:rPr>
            </w:pPr>
            <w:r w:rsidRPr="00514692">
              <w:rPr>
                <w:b/>
              </w:rPr>
              <w:t>SSz.</w:t>
            </w:r>
          </w:p>
        </w:tc>
        <w:tc>
          <w:tcPr>
            <w:tcW w:w="5040" w:type="dxa"/>
            <w:shd w:val="clear" w:color="auto" w:fill="auto"/>
          </w:tcPr>
          <w:p w:rsidR="00343888" w:rsidRPr="00514692" w:rsidRDefault="00343888" w:rsidP="00A80EB9">
            <w:pPr>
              <w:spacing w:line="360" w:lineRule="auto"/>
              <w:jc w:val="center"/>
              <w:rPr>
                <w:b/>
              </w:rPr>
            </w:pPr>
            <w:r w:rsidRPr="00514692">
              <w:rPr>
                <w:b/>
              </w:rPr>
              <w:t>Licenc megnevezése</w:t>
            </w:r>
          </w:p>
        </w:tc>
        <w:tc>
          <w:tcPr>
            <w:tcW w:w="3181" w:type="dxa"/>
            <w:shd w:val="clear" w:color="auto" w:fill="auto"/>
          </w:tcPr>
          <w:p w:rsidR="00343888" w:rsidRPr="00514692" w:rsidRDefault="00343888" w:rsidP="00A80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Ügyintéző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343888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 w:rsidRPr="000C3C75">
              <w:t>Endoszkópos ultrahang vizsgálatok</w:t>
            </w:r>
          </w:p>
        </w:tc>
        <w:tc>
          <w:tcPr>
            <w:tcW w:w="3181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 w:rsidRPr="000C3C75">
              <w:t>2.</w:t>
            </w: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>
              <w:t>Mellkas-sérültek traumatológiai ellátása</w:t>
            </w:r>
          </w:p>
        </w:tc>
        <w:tc>
          <w:tcPr>
            <w:tcW w:w="3181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>
              <w:t>Neurointervenció</w:t>
            </w:r>
          </w:p>
        </w:tc>
        <w:tc>
          <w:tcPr>
            <w:tcW w:w="3181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>
              <w:t>Neurosonológia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EA3182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>
              <w:t>Hipertonológia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EA3182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6.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Lipidológia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EA3182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>
              <w:t>Neuro-ophtalmológia</w:t>
            </w:r>
          </w:p>
        </w:tc>
        <w:tc>
          <w:tcPr>
            <w:tcW w:w="3181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  <w:jc w:val="center"/>
            </w:pPr>
            <w:r>
              <w:t>8.</w:t>
            </w:r>
          </w:p>
        </w:tc>
        <w:tc>
          <w:tcPr>
            <w:tcW w:w="5040" w:type="dxa"/>
            <w:shd w:val="clear" w:color="auto" w:fill="auto"/>
          </w:tcPr>
          <w:p w:rsidR="00343888" w:rsidRPr="000C3C75" w:rsidRDefault="00343888" w:rsidP="00A80EB9">
            <w:pPr>
              <w:spacing w:line="360" w:lineRule="auto"/>
            </w:pPr>
            <w:r>
              <w:t>Vasculáris neurológia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9.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Alvásmedicina szakértője</w:t>
            </w:r>
            <w:r w:rsidR="00DF3583">
              <w:t xml:space="preserve"> (Szomnológus)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10.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Obezitológia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11.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Palliatív orvoslás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12.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Diabetológia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13.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Foniátria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14.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Komplex radiológiai emlődiagnosztika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15.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Halottvizsgálati szaktanácsadó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16.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Gyermekszemészet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17.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Reumatológiai ultrahang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18.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Szülészeti-nőgyógyászati ultrahang diagnosztika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19.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Felnőtt transtorakális echokardiográfia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343888" w:rsidRPr="000C3C75" w:rsidTr="00A80EB9">
        <w:tc>
          <w:tcPr>
            <w:tcW w:w="1139" w:type="dxa"/>
            <w:shd w:val="clear" w:color="auto" w:fill="auto"/>
          </w:tcPr>
          <w:p w:rsidR="00343888" w:rsidRDefault="00343888" w:rsidP="00A80EB9">
            <w:pPr>
              <w:spacing w:line="360" w:lineRule="auto"/>
              <w:jc w:val="center"/>
            </w:pPr>
            <w:r>
              <w:t>20.</w:t>
            </w:r>
          </w:p>
        </w:tc>
        <w:tc>
          <w:tcPr>
            <w:tcW w:w="5040" w:type="dxa"/>
            <w:shd w:val="clear" w:color="auto" w:fill="auto"/>
          </w:tcPr>
          <w:p w:rsidR="00343888" w:rsidRDefault="00343888" w:rsidP="00A80EB9">
            <w:pPr>
              <w:spacing w:line="360" w:lineRule="auto"/>
            </w:pPr>
            <w:r>
              <w:t>Felnőtt transoesophagealis echokardiográfia</w:t>
            </w:r>
          </w:p>
        </w:tc>
        <w:tc>
          <w:tcPr>
            <w:tcW w:w="3181" w:type="dxa"/>
            <w:shd w:val="clear" w:color="auto" w:fill="auto"/>
          </w:tcPr>
          <w:p w:rsidR="00343888" w:rsidRDefault="00343888" w:rsidP="00A80EB9">
            <w:pPr>
              <w:jc w:val="center"/>
            </w:pPr>
            <w:r w:rsidRPr="00BB4C59">
              <w:t>Kosztolányi Tímea</w:t>
            </w:r>
          </w:p>
        </w:tc>
      </w:tr>
      <w:tr w:rsidR="00CE390C" w:rsidRPr="000C3C75" w:rsidTr="00A80EB9">
        <w:tc>
          <w:tcPr>
            <w:tcW w:w="1139" w:type="dxa"/>
            <w:shd w:val="clear" w:color="auto" w:fill="auto"/>
          </w:tcPr>
          <w:p w:rsidR="00CE390C" w:rsidRDefault="00122F4A" w:rsidP="00A80EB9">
            <w:pPr>
              <w:spacing w:line="360" w:lineRule="auto"/>
              <w:jc w:val="center"/>
            </w:pPr>
            <w:r>
              <w:t>21.</w:t>
            </w:r>
          </w:p>
        </w:tc>
        <w:tc>
          <w:tcPr>
            <w:tcW w:w="5040" w:type="dxa"/>
            <w:shd w:val="clear" w:color="auto" w:fill="auto"/>
          </w:tcPr>
          <w:p w:rsidR="00CE390C" w:rsidRDefault="00CE390C" w:rsidP="00A80EB9">
            <w:pPr>
              <w:spacing w:line="360" w:lineRule="auto"/>
            </w:pPr>
            <w:r>
              <w:t>Intervenciós radiológia minősített orvosa</w:t>
            </w:r>
          </w:p>
        </w:tc>
        <w:tc>
          <w:tcPr>
            <w:tcW w:w="3181" w:type="dxa"/>
            <w:shd w:val="clear" w:color="auto" w:fill="auto"/>
          </w:tcPr>
          <w:p w:rsidR="00CE390C" w:rsidRPr="00BB4C59" w:rsidRDefault="00CE390C" w:rsidP="00A80EB9">
            <w:pPr>
              <w:jc w:val="center"/>
            </w:pPr>
            <w:r>
              <w:t>Kosztolányi Tímea</w:t>
            </w:r>
          </w:p>
        </w:tc>
      </w:tr>
      <w:tr w:rsidR="00CE390C" w:rsidRPr="000C3C75" w:rsidTr="00A80EB9">
        <w:tc>
          <w:tcPr>
            <w:tcW w:w="1139" w:type="dxa"/>
            <w:shd w:val="clear" w:color="auto" w:fill="auto"/>
          </w:tcPr>
          <w:p w:rsidR="00CE390C" w:rsidRDefault="00122F4A" w:rsidP="00A80EB9">
            <w:pPr>
              <w:spacing w:line="360" w:lineRule="auto"/>
              <w:jc w:val="center"/>
            </w:pPr>
            <w:r>
              <w:t>22.</w:t>
            </w:r>
          </w:p>
        </w:tc>
        <w:tc>
          <w:tcPr>
            <w:tcW w:w="5040" w:type="dxa"/>
            <w:shd w:val="clear" w:color="auto" w:fill="auto"/>
          </w:tcPr>
          <w:p w:rsidR="00CE390C" w:rsidRDefault="00CE390C" w:rsidP="00A80EB9">
            <w:pPr>
              <w:spacing w:line="360" w:lineRule="auto"/>
            </w:pPr>
            <w:r>
              <w:t>Dento-maxillo-faciális radiológia</w:t>
            </w:r>
          </w:p>
        </w:tc>
        <w:tc>
          <w:tcPr>
            <w:tcW w:w="3181" w:type="dxa"/>
            <w:shd w:val="clear" w:color="auto" w:fill="auto"/>
          </w:tcPr>
          <w:p w:rsidR="00CE390C" w:rsidRPr="00BB4C59" w:rsidRDefault="00CE390C" w:rsidP="00A80EB9">
            <w:pPr>
              <w:jc w:val="center"/>
            </w:pPr>
            <w:r>
              <w:t>Kosztolányi Tímea</w:t>
            </w:r>
          </w:p>
        </w:tc>
      </w:tr>
    </w:tbl>
    <w:p w:rsidR="00343888" w:rsidRPr="000C3C75" w:rsidRDefault="00343888" w:rsidP="00343888">
      <w:pPr>
        <w:spacing w:line="360" w:lineRule="auto"/>
        <w:jc w:val="center"/>
      </w:pPr>
    </w:p>
    <w:p w:rsidR="00343888" w:rsidRPr="000929EE" w:rsidRDefault="00343888" w:rsidP="00343888">
      <w:pPr>
        <w:ind w:left="4248" w:firstLine="708"/>
        <w:jc w:val="center"/>
        <w:rPr>
          <w:b/>
        </w:rPr>
      </w:pPr>
    </w:p>
    <w:sectPr w:rsidR="00343888" w:rsidRPr="000929EE" w:rsidSect="00EF0589">
      <w:footerReference w:type="even" r:id="rId8"/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F22" w:rsidRDefault="00A75628">
      <w:r>
        <w:separator/>
      </w:r>
    </w:p>
  </w:endnote>
  <w:endnote w:type="continuationSeparator" w:id="0">
    <w:p w:rsidR="00D36F22" w:rsidRDefault="00A7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998" w:rsidRDefault="000D705B" w:rsidP="0000686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34388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60998" w:rsidRDefault="005E756C" w:rsidP="0000686D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998" w:rsidRDefault="000D705B" w:rsidP="0000686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343888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E756C">
      <w:rPr>
        <w:rStyle w:val="Oldalszm"/>
        <w:noProof/>
      </w:rPr>
      <w:t>1</w:t>
    </w:r>
    <w:r>
      <w:rPr>
        <w:rStyle w:val="Oldalszm"/>
      </w:rPr>
      <w:fldChar w:fldCharType="end"/>
    </w:r>
  </w:p>
  <w:p w:rsidR="00260998" w:rsidRDefault="005E756C" w:rsidP="0000686D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F22" w:rsidRDefault="00A75628">
      <w:r>
        <w:separator/>
      </w:r>
    </w:p>
  </w:footnote>
  <w:footnote w:type="continuationSeparator" w:id="0">
    <w:p w:rsidR="00D36F22" w:rsidRDefault="00A75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64B"/>
    <w:multiLevelType w:val="hybridMultilevel"/>
    <w:tmpl w:val="3A10F34E"/>
    <w:lvl w:ilvl="0" w:tplc="040E0001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63F31"/>
    <w:multiLevelType w:val="hybridMultilevel"/>
    <w:tmpl w:val="93884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88"/>
    <w:rsid w:val="00074CE9"/>
    <w:rsid w:val="000D705B"/>
    <w:rsid w:val="00122F4A"/>
    <w:rsid w:val="0024572E"/>
    <w:rsid w:val="00343888"/>
    <w:rsid w:val="004C651B"/>
    <w:rsid w:val="004F0585"/>
    <w:rsid w:val="005A0883"/>
    <w:rsid w:val="005E756C"/>
    <w:rsid w:val="006D0501"/>
    <w:rsid w:val="00753846"/>
    <w:rsid w:val="007A4CF4"/>
    <w:rsid w:val="007E6652"/>
    <w:rsid w:val="00A75628"/>
    <w:rsid w:val="00B35A1B"/>
    <w:rsid w:val="00BB16F8"/>
    <w:rsid w:val="00CE390C"/>
    <w:rsid w:val="00D36F22"/>
    <w:rsid w:val="00DF3583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15DA"/>
  <w15:docId w15:val="{C66DE18C-5D5D-45A2-BBBB-C17DA08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43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rsid w:val="0034388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43888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343888"/>
  </w:style>
  <w:style w:type="paragraph" w:styleId="Listaszerbekezds">
    <w:name w:val="List Paragraph"/>
    <w:basedOn w:val="Norml"/>
    <w:uiPriority w:val="34"/>
    <w:qFormat/>
    <w:rsid w:val="00CE390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E665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6652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csabai.ildiko</dc:creator>
  <cp:keywords/>
  <dc:description/>
  <cp:lastModifiedBy>Kosztolányi Tímea</cp:lastModifiedBy>
  <cp:revision>2</cp:revision>
  <dcterms:created xsi:type="dcterms:W3CDTF">2023-01-09T08:13:00Z</dcterms:created>
  <dcterms:modified xsi:type="dcterms:W3CDTF">2023-01-09T08:13:00Z</dcterms:modified>
</cp:coreProperties>
</file>