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E78"/>
          <w:sz w:val="18"/>
        </w:rPr>
        <w:t>STRATEGIA ROZWOJU PRODUKTU</w:t>
      </w:r>
    </w:p>
    <w:p>
      <w:pPr>
        <w:pStyle w:val="Title"/>
      </w:pPr>
      <w:r>
        <w:t>Contracts AI</w:t>
      </w:r>
    </w:p>
    <w:p>
      <w:pPr>
        <w:pStyle w:val="Subtitle"/>
      </w:pPr>
      <w:r>
        <w:t>Inteligentne zarządzanie umowami dla MŚP — SaaS, iSaaS i on‑premise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Zakres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Podstawa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Cel dokumentu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Produkt • AI/OCR • architektura • bezpieczeństwo • sprzedaż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Audyt repozytorium horcon79/contracts-management-app + research modeli (25.07.2026)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Plan przejścia z MVP do produktu komercyjnego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F4E78"/>
              </w:rPr>
              <w:t xml:space="preserve">Rekomendacja zarządcza  </w:t>
            </w:r>
            <w:r>
              <w:t>Nie sprzedawać produktu jako „archiwum umów z OCR”. Pozycjonować go jako system kontroli zobowiązań, kosztów, terminów i ryzyka kontraktowego, który potrafi wskazać dowód na konkretnej stronie dokumentu.</w:t>
            </w:r>
          </w:p>
        </w:tc>
      </w:tr>
    </w:tbl>
    <w:p>
      <w:pPr>
        <w:spacing w:after="20"/>
      </w:pPr>
    </w:p>
    <w:p>
      <w:pPr>
        <w:pStyle w:val="Heading1"/>
      </w:pPr>
      <w:r>
        <w:t>1. Streszczenie wykonawcze</w:t>
      </w:r>
    </w:p>
    <w:p>
      <w:r>
        <w:t>Obecna aplikacja jest wartościowym MVP: ma nowoczesny frontend, logowanie i role, CRUD umów, upload PDF, słowniki, wyszukiwanie, OCR, podsumowania AI, Redis/BullMQ oraz podstawy wdrożenia Docker. Kod potwierdza jednak, że logika nadal koncentruje się na pojedynczym pliku PDF i ręcznie wprowadzanych metadanych. Produkt komercyjny musi zarządzać całym cyklem życia relacji kontraktowej: od wpływu dokumentu, przez ekstrakcję i weryfikację, akceptacje, podpis, realizację obowiązków, indeksację cen, aneksy, wypowiedzenie i retencję.</w:t>
      </w:r>
    </w:p>
    <w:p>
      <w:pPr>
        <w:pStyle w:val="ListBullet"/>
        <w:spacing w:after="60"/>
      </w:pPr>
      <w:r>
        <w:t>Najbardziej obiecujący segment startowy: polskie MŚP 30–500 pracowników, które mają 200–10 000 aktywnych umów i nie posiadają wyspecjalizowanego CLM.</w:t>
      </w:r>
    </w:p>
    <w:p>
      <w:pPr>
        <w:pStyle w:val="ListBullet"/>
        <w:spacing w:after="60"/>
      </w:pPr>
      <w:r>
        <w:t>Wyróżnik: lokalne AI i możliwość on‑premise, pełny ślad dowodowy (pole → klauzula → strona), obsługa polskich dokumentów i wdrożenie bez projektu klasy enterprise.</w:t>
      </w:r>
    </w:p>
    <w:p>
      <w:pPr>
        <w:pStyle w:val="ListBullet"/>
        <w:spacing w:after="60"/>
      </w:pPr>
      <w:r>
        <w:t>MVP komercyjny powinien najpierw rozwiązać terminy, indeksacje, koszty, właścicieli oraz kompletność dokumentacji; chatbot jest funkcją wspierającą, a nie rdzeniem wartości.</w:t>
      </w:r>
    </w:p>
    <w:p>
      <w:pPr>
        <w:pStyle w:val="ListBullet"/>
        <w:spacing w:after="60"/>
      </w:pPr>
      <w:r>
        <w:t>Wprowadzić ten sam kontrakt API dla modeli lokalnych i chmurowych. Pozwoli to sprzedawać jeden produkt w trzech wariantach bez rozwidlania kodu.</w:t>
      </w:r>
    </w:p>
    <w:p>
      <w:pPr>
        <w:pStyle w:val="Heading1"/>
      </w:pPr>
      <w:r>
        <w:t>2. Audyt obecnej aplikacji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38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Stan obecny</w:t>
            </w:r>
          </w:p>
        </w:tc>
        <w:tc>
          <w:tcPr>
            <w:tcW w:type="dxa" w:w="42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Ocena / konsekwencja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Next.js 16, React 19, TypeScript, MongoDB, NextAuth, Docker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Dobra baza MVP; nie wymaga przepisywania.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AI/OCR</w:t>
            </w:r>
          </w:p>
        </w:tc>
        <w:tc>
          <w:tcPr>
            <w:tcW w:type="dxa" w:w="38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pdf-parse → Tesseract POL → OpenAI Vision; osobne podsumowanie</w:t>
            </w:r>
          </w:p>
        </w:tc>
        <w:tc>
          <w:tcPr>
            <w:tcW w:type="dxa" w:w="424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Pipeline prosty, lecz bez jakości, dowodów i schematu danych.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Model umowy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Jeden PDF, płaskie metadata, ocrText, aiSummary, embedding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Za mało dla aneksów, OWU, obowiązków, cen i wersji.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Proces</w:t>
            </w:r>
          </w:p>
        </w:tc>
        <w:tc>
          <w:tcPr>
            <w:tcW w:type="dxa" w:w="38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OCR wykonywany z endpointu HTTP</w:t>
            </w:r>
          </w:p>
        </w:tc>
        <w:tc>
          <w:tcPr>
            <w:tcW w:type="dxa" w:w="424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Ryzyko timeoutów; przenieść do asynchronicznego workflow.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Powiadomienia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BullMQ/Redis i kolejki są obecne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Dobry fundament, ale potrzebny scheduler, worker i historia doręczeń.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Uprawnienia</w:t>
            </w:r>
          </w:p>
        </w:tc>
        <w:tc>
          <w:tcPr>
            <w:tcW w:type="dxa" w:w="38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Role read/edit/admin, pola teamId/assigneeId, Azure AD</w:t>
            </w:r>
          </w:p>
        </w:tc>
        <w:tc>
          <w:tcPr>
            <w:tcW w:type="dxa" w:w="424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Rozwinąć do RBAC+ABAC, tenantów i uprawnień obiektowych.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Pliki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Wolumen lokalny, walidacja PDF/50 MB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Dla SaaS potrzebny object storage, AV, szyfrowanie i retencja.</w:t>
            </w:r>
          </w:p>
        </w:tc>
      </w:tr>
      <w:tr>
        <w:tc>
          <w:tcPr>
            <w:tcW w:type="dxa" w:w="15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Wyszukiwanie</w:t>
            </w:r>
          </w:p>
        </w:tc>
        <w:tc>
          <w:tcPr>
            <w:tcW w:type="dxa" w:w="38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Regex po tekście i notatkach; pole embedding</w:t>
            </w:r>
          </w:p>
        </w:tc>
        <w:tc>
          <w:tcPr>
            <w:tcW w:type="dxa" w:w="424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Skalowanie słabe; wdrożyć pełnotekstowe i hybrydowe retrieval.</w:t>
            </w:r>
          </w:p>
        </w:tc>
      </w:tr>
    </w:tbl>
    <w:p>
      <w:pPr>
        <w:spacing w:after="20"/>
      </w:pPr>
    </w:p>
    <w:p>
      <w:pPr>
        <w:pStyle w:val="Heading2"/>
      </w:pPr>
      <w:r>
        <w:t>2.1. Krytyczne ryzyka w obecnej logice</w:t>
      </w:r>
    </w:p>
    <w:p>
      <w:pPr>
        <w:pStyle w:val="ListBullet"/>
        <w:spacing w:after="60"/>
      </w:pPr>
      <w:r>
        <w:t>Dokumenty skanowane powyżej 10 stron są próbkowane (strona pierwsza i następnie co piąta). System może pominąć wypowiedzenie, waloryzację, kary lub załącznik cenowy.</w:t>
      </w:r>
    </w:p>
    <w:p>
      <w:pPr>
        <w:pStyle w:val="ListBullet"/>
        <w:spacing w:after="60"/>
      </w:pPr>
      <w:r>
        <w:t>Wynik Tesseract jest uznawany za poprawny głównie na podstawie długości (&gt;20 znaków), bez średniej pewności, oceny języka, kompletności strony i walidacji względem schematu.</w:t>
      </w:r>
    </w:p>
    <w:p>
      <w:pPr>
        <w:pStyle w:val="ListBullet"/>
        <w:spacing w:after="60"/>
      </w:pPr>
      <w:r>
        <w:t>Stały katalog tymczasowy i prefix wynikający z nazwy pliku zwiększają ryzyko kolizji przy równoległym przetwarzaniu. Każde zadanie powinno mieć izolowany katalog i identyfikator.</w:t>
      </w:r>
    </w:p>
    <w:p>
      <w:pPr>
        <w:pStyle w:val="ListBullet"/>
        <w:spacing w:after="60"/>
      </w:pPr>
      <w:r>
        <w:t>Budowanie komendy shell z filePath wymaga zastąpienia bezpośrednim wywołaniem procesu z tablicą argumentów oraz ścisłą kanonikalizacją ścieżek.</w:t>
      </w:r>
    </w:p>
    <w:p>
      <w:pPr>
        <w:pStyle w:val="ListBullet"/>
        <w:spacing w:after="60"/>
      </w:pPr>
      <w:r>
        <w:t>Klucz OpenAI jest przechowywany jako wartość ustawienia w MongoDB. Docelowo: secret manager/KMS, rotacja, audyt użycia i brak możliwości odczytu klucza przez aplikację administracyjną.</w:t>
      </w:r>
    </w:p>
    <w:p>
      <w:pPr>
        <w:pStyle w:val="ListBullet"/>
        <w:spacing w:after="60"/>
      </w:pPr>
      <w:r>
        <w:t>Brak jawnego `tenantId` na rekordach uniemożliwia bezpieczny SaaS multi‑tenant. Dodanie go późno jest kosztowną migracją — powinno wejść przed pierwszym płatnym klientem.</w:t>
      </w:r>
    </w:p>
    <w:p>
      <w:pPr>
        <w:pStyle w:val="Heading1"/>
      </w:pPr>
      <w:r>
        <w:t>3. Pozycjonowanie produktu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F4E78"/>
              </w:rPr>
              <w:t xml:space="preserve">Obietnica produktu  </w:t>
            </w:r>
            <w:r>
              <w:t>Contracts AI mówi firmie nie tylko „co jest w umowie”, ale przede wszystkim: co trzeba zrobić, kiedy, za ile, kto odpowiada, jakie są ryzyka oraz z którego fragmentu dokumentu wynika odpowiedź.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Najważniejszy problem</w:t>
            </w:r>
          </w:p>
        </w:tc>
        <w:tc>
          <w:tcPr>
            <w:tcW w:type="dxa" w:w="446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Wartość produktu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Zarząd / CFO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Brak widoku kosztów, ryzyk i zobowiązań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Portfel umów, forecast kosztów, alerty i ekspozycja.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Administracja / zakupy</w:t>
            </w:r>
          </w:p>
        </w:tc>
        <w:tc>
          <w:tcPr>
            <w:tcW w:type="dxa" w:w="33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Rozproszone pliki i terminy</w:t>
            </w:r>
          </w:p>
        </w:tc>
        <w:tc>
          <w:tcPr>
            <w:tcW w:type="dxa" w:w="44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Automatyczny rejestr, właściciele, odnowienia, indeksacje.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Księgowość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Faktura niezgodna z umową/cennikiem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Kontrola stawek, limitów, okresów i odchyleń.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HR</w:t>
            </w:r>
          </w:p>
        </w:tc>
        <w:tc>
          <w:tcPr>
            <w:tcW w:type="dxa" w:w="33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Umowy pracownicze i dostawcy usług</w:t>
            </w:r>
          </w:p>
        </w:tc>
        <w:tc>
          <w:tcPr>
            <w:tcW w:type="dxa" w:w="44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Poufne przestrzenie, retencja, terminy, uprawnienia.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Prawnik / kancelaria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Czasochłonna analiza i brak standaryzacji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Checklisty klauzul, porównania, komentarze i zatwierdzanie.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IT / bezpieczeństwo</w:t>
            </w:r>
          </w:p>
        </w:tc>
        <w:tc>
          <w:tcPr>
            <w:tcW w:type="dxa" w:w="338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Dane nie mogą opuścić organizacji</w:t>
            </w:r>
          </w:p>
        </w:tc>
        <w:tc>
          <w:tcPr>
            <w:tcW w:type="dxa" w:w="44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On‑premise, lokalne modele, SSO, audyt i polityki.</w:t>
            </w:r>
          </w:p>
        </w:tc>
      </w:tr>
    </w:tbl>
    <w:p>
      <w:pPr>
        <w:spacing w:after="20"/>
      </w:pPr>
    </w:p>
    <w:p>
      <w:pPr>
        <w:pStyle w:val="Heading1"/>
      </w:pPr>
      <w:r>
        <w:t>4. Funkcjonalności oczekiwane przez MŚP</w:t>
      </w:r>
    </w:p>
    <w:p>
      <w:pPr>
        <w:pStyle w:val="Heading2"/>
      </w:pPr>
      <w:r>
        <w:t>4.1. Rejestr i cykl życia umowy</w:t>
      </w:r>
    </w:p>
    <w:p>
      <w:pPr>
        <w:pStyle w:val="ListBullet"/>
        <w:spacing w:after="60"/>
      </w:pPr>
      <w:r>
        <w:t>Wpływ dokumentu przez upload, e‑mail, skan, folder sieciowy, API, SharePoint/OneDrive oraz masowy import.</w:t>
      </w:r>
    </w:p>
    <w:p>
      <w:pPr>
        <w:pStyle w:val="ListBullet"/>
        <w:spacing w:after="60"/>
      </w:pPr>
      <w:r>
        <w:t>Automatyczne rozpoznanie typu dokumentu: umowa, aneks, OWU/OPZ, cennik, zamówienie, pełnomocnictwo, wypowiedzenie, protokół.</w:t>
      </w:r>
    </w:p>
    <w:p>
      <w:pPr>
        <w:pStyle w:val="ListBullet"/>
        <w:spacing w:after="60"/>
      </w:pPr>
      <w:r>
        <w:t>Łączenie dokumentów w jedną sprawę/relację: umowa główna → aneksy → załączniki → OWU → cenniki → korespondencja.</w:t>
      </w:r>
    </w:p>
    <w:p>
      <w:pPr>
        <w:pStyle w:val="ListBullet"/>
        <w:spacing w:after="60"/>
      </w:pPr>
      <w:r>
        <w:t>Statusy i workflow: projekt, analiza, weryfikacja, akceptacja, podpis, aktywna, do wypowiedzenia, wygasła, archiwalna.</w:t>
      </w:r>
    </w:p>
    <w:p>
      <w:pPr>
        <w:pStyle w:val="ListBullet"/>
        <w:spacing w:after="60"/>
      </w:pPr>
      <w:r>
        <w:t>Właściciel biznesowy, zastępca, dział, spółka, centrum kosztów, kontrahent i opiekun prawny.</w:t>
      </w:r>
    </w:p>
    <w:p>
      <w:pPr>
        <w:pStyle w:val="ListBullet"/>
        <w:spacing w:after="60"/>
      </w:pPr>
      <w:r>
        <w:t>Wersjonowanie, porównanie dokumentów oraz oś czasu wszystkich zmian.</w:t>
      </w:r>
    </w:p>
    <w:p>
      <w:pPr>
        <w:pStyle w:val="Heading2"/>
      </w:pPr>
      <w:r>
        <w:t>4.2. Terminy, zobowiązania i pieniądze</w:t>
      </w:r>
    </w:p>
    <w:p>
      <w:pPr>
        <w:pStyle w:val="ListBullet"/>
        <w:spacing w:after="60"/>
      </w:pPr>
      <w:r>
        <w:t>Wiele dat na umowę: start, koniec, automatyczne odnowienie, okno wypowiedzenia, wypowiedzenie najpóźniej do, indeksacja, płatności, przeglądy, certyfikaty i kamienie milowe.</w:t>
      </w:r>
    </w:p>
    <w:p>
      <w:pPr>
        <w:pStyle w:val="ListBullet"/>
        <w:spacing w:after="60"/>
      </w:pPr>
      <w:r>
        <w:t>Alerty kaskadowe 180/90/60/30/14/7 dni, reguły per typ umowy i eskalacja do przełożonego.</w:t>
      </w:r>
    </w:p>
    <w:p>
      <w:pPr>
        <w:pStyle w:val="ListBullet"/>
        <w:spacing w:after="60"/>
      </w:pPr>
      <w:r>
        <w:t>Kalendarz i integracja z Outlook/Google Calendar; e‑mail, push, Teams/Slack i webhooks.</w:t>
      </w:r>
    </w:p>
    <w:p>
      <w:pPr>
        <w:pStyle w:val="ListBullet"/>
        <w:spacing w:after="60"/>
      </w:pPr>
      <w:r>
        <w:t>Harmonogram zobowiązań obu stron z właścicielem, terminem, dowodem wykonania i statusem.</w:t>
      </w:r>
    </w:p>
    <w:p>
      <w:pPr>
        <w:pStyle w:val="ListBullet"/>
        <w:spacing w:after="60"/>
      </w:pPr>
      <w:r>
        <w:t>Struktura cen: abonamenty, stawki jednostkowe, rabaty, limity, progi, waluta, VAT, indeks bazowy, wzór indeksacji i minimalny/maksymalny wzrost.</w:t>
      </w:r>
    </w:p>
    <w:p>
      <w:pPr>
        <w:pStyle w:val="ListBullet"/>
        <w:spacing w:after="60"/>
      </w:pPr>
      <w:r>
        <w:t>Roczny koszt umowy, TCV, koszt przyszły po indeksacji, budżet vs wykonanie i wykrywanie zdublowanych usług.</w:t>
      </w:r>
    </w:p>
    <w:p>
      <w:pPr>
        <w:pStyle w:val="ListBullet"/>
        <w:spacing w:after="60"/>
      </w:pPr>
      <w:r>
        <w:t>Porównanie faktury/zamówienia z umową i cennikiem jako moduł premium.</w:t>
      </w:r>
    </w:p>
    <w:p>
      <w:pPr>
        <w:pStyle w:val="Heading2"/>
      </w:pPr>
      <w:r>
        <w:t>4.3. Analiza AI i dowody</w:t>
      </w:r>
    </w:p>
    <w:p>
      <w:pPr>
        <w:pStyle w:val="ListBullet"/>
        <w:spacing w:after="60"/>
      </w:pPr>
      <w:r>
        <w:t>Ustrukturyzowana karta umowy zamiast jednego akapitu podsumowania.</w:t>
      </w:r>
    </w:p>
    <w:p>
      <w:pPr>
        <w:pStyle w:val="ListBullet"/>
        <w:spacing w:after="60"/>
      </w:pPr>
      <w:r>
        <w:t>Każde pole zawiera wartość, confidence, stronę, cytowany fragment, identyfikator dokumentu i status weryfikacji człowieka.</w:t>
      </w:r>
    </w:p>
    <w:p>
      <w:pPr>
        <w:pStyle w:val="ListBullet"/>
        <w:spacing w:after="60"/>
      </w:pPr>
      <w:r>
        <w:t>Ekstrakcja stron, dat, kwot, kontrahentów, NIP/KRS, przedmiotu, czasu trwania, wypowiedzenia, odnowienia, kar, SLA, odpowiedzialności, poufności, danych osobowych, cesji i prawa właściwego.</w:t>
      </w:r>
    </w:p>
    <w:p>
      <w:pPr>
        <w:pStyle w:val="ListBullet"/>
        <w:spacing w:after="60"/>
      </w:pPr>
      <w:r>
        <w:t>Analiza całego pakietu dokumentów, w tym OWU, załączników i cenników; wykrywanie sprzeczności i wskazanie dokumentu nadrzędnego.</w:t>
      </w:r>
    </w:p>
    <w:p>
      <w:pPr>
        <w:pStyle w:val="ListBullet"/>
        <w:spacing w:after="60"/>
      </w:pPr>
      <w:r>
        <w:t>Porównanie z firmowym playbookiem: klauzule wymagane, niedopuszczalne i wymagające akceptacji.</w:t>
      </w:r>
    </w:p>
    <w:p>
      <w:pPr>
        <w:pStyle w:val="ListBullet"/>
        <w:spacing w:after="60"/>
      </w:pPr>
      <w:r>
        <w:t>Chat/RAG z odpowiedzią wyłącznie na podstawie uprawnionych dokumentów oraz obowiązkowymi cytowaniami stron.</w:t>
      </w:r>
    </w:p>
    <w:p>
      <w:pPr>
        <w:pStyle w:val="ListBullet"/>
        <w:spacing w:after="60"/>
      </w:pPr>
      <w:r>
        <w:t>Human‑in‑the‑loop: kolejka pól o niskiej pewności i zatwierdzanie zmian przed uruchomieniem alertów.</w:t>
      </w:r>
    </w:p>
    <w:p>
      <w:pPr>
        <w:pStyle w:val="Heading2"/>
      </w:pPr>
      <w:r>
        <w:t>4.4. PWA i urządzenia mobilne</w:t>
      </w:r>
    </w:p>
    <w:p>
      <w:r>
        <w:t>Wymienione przez użytkownika „WPA” interpretuję jako PWA (Progressive Web App). To lepszy pierwszy krok niż natywne aplikacje iOS/Android: jeden kod, instalacja na ekranie głównym, powiadomienia push i dostęp do zadań mobilnych.</w:t>
      </w:r>
    </w:p>
    <w:p>
      <w:pPr>
        <w:pStyle w:val="ListBullet"/>
        <w:spacing w:after="60"/>
      </w:pPr>
      <w:r>
        <w:t>Mobilny inbox: do zatwierdzenia, do przypisania, kończące się umowy i pola wymagające weryfikacji.</w:t>
      </w:r>
    </w:p>
    <w:p>
      <w:pPr>
        <w:pStyle w:val="ListBullet"/>
        <w:spacing w:after="60"/>
      </w:pPr>
      <w:r>
        <w:t>Skanowanie wielostronicowe aparatem, korekcja perspektywy, kompresja i natychmiastowy upload.</w:t>
      </w:r>
    </w:p>
    <w:p>
      <w:pPr>
        <w:pStyle w:val="ListBullet"/>
        <w:spacing w:after="60"/>
      </w:pPr>
      <w:r>
        <w:t>Podgląd kluczowych danych i stron źródłowych; szybkie zatwierdź/odrzuć/przekaż.</w:t>
      </w:r>
    </w:p>
    <w:p>
      <w:pPr>
        <w:pStyle w:val="ListBullet"/>
        <w:spacing w:after="60"/>
      </w:pPr>
      <w:r>
        <w:t>Web Push z deep linkiem do konkretnego terminu lub klauzuli.</w:t>
      </w:r>
    </w:p>
    <w:p>
      <w:pPr>
        <w:pStyle w:val="ListBullet"/>
        <w:spacing w:after="60"/>
      </w:pPr>
      <w:r>
        <w:t>Tryb offline tylko dla metadanych i zadań; dokumenty poufne domyślnie bez trwałego cache na urządzeniu.</w:t>
      </w:r>
    </w:p>
    <w:p>
      <w:pPr>
        <w:pStyle w:val="ListBullet"/>
        <w:spacing w:after="60"/>
      </w:pPr>
      <w:r>
        <w:t>Biometria/PIN poprzez WebAuthn/passkeys i obowiązkowe MFA według polityki klienta.</w:t>
      </w:r>
    </w:p>
    <w:p>
      <w:pPr>
        <w:pStyle w:val="Heading1"/>
      </w:pPr>
      <w:r>
        <w:t>5. Docelowa architektura AI/OCR dla DGX Spark</w:t>
      </w:r>
    </w:p>
    <w:p>
      <w:r>
        <w:t>DGX Spark posiada 128 GB pamięci zunifikowanej, 20‑rdzeniowy CPU ARM i architekturę Blackwell. Sprzęt jest wystarczający do jednoczesnego hostowania lekkiego parsera dokumentów, modelu VLM 8B–30B (zależnie od kwantyzacji i obciążenia), embeddings i rerankera. Należy jednak projektować pod przepustowość stron i kolejkę zadań, nie tylko pod możliwość załadowania modelu.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Warstwa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Model / narzędzie</w:t>
            </w:r>
          </w:p>
        </w:tc>
        <w:tc>
          <w:tcPr>
            <w:tcW w:type="dxa" w:w="460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Rekomendacja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Ekstrakcja PDF tekstowego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PyMuPDF / pypdfium2 + layout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Zachować tekst, współrzędne i numer strony; bez VLM, gdy warstwa tekstowa jest dobra.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Parser dokumentu</w:t>
            </w:r>
          </w:p>
        </w:tc>
        <w:tc>
          <w:tcPr>
            <w:tcW w:type="dxa" w:w="324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PaddleOCR‑VL 1.6 0.9B + PP‑StructureV3</w:t>
            </w:r>
          </w:p>
        </w:tc>
        <w:tc>
          <w:tcPr>
            <w:tcW w:type="dxa" w:w="46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Rekomendowany primary dla PL i złożonych tabel; Markdown/JSON i 109 języków.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Szybki OCR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PP‑OCRv6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Wysoki wolumen i proste strony; jedna rodzina dla 50 języków.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OCR NVIDIA</w:t>
            </w:r>
          </w:p>
        </w:tc>
        <w:tc>
          <w:tcPr>
            <w:tcW w:type="dxa" w:w="324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Nemotron OCR v2</w:t>
            </w:r>
          </w:p>
        </w:tc>
        <w:tc>
          <w:tcPr>
            <w:tcW w:type="dxa" w:w="46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Opcjonalny dla ENG/obsługiwanych języków; nie jako primary dla polskich umów.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VLM ekstrakcyjny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Qwen3‑VL‑8B‑Instruct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Dobry balans jakości, OCR, długiego kontekstu i Apache‑2.0.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VLM premium</w:t>
            </w:r>
          </w:p>
        </w:tc>
        <w:tc>
          <w:tcPr>
            <w:tcW w:type="dxa" w:w="324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Większy Qwen3‑VL / model 30B+</w:t>
            </w:r>
          </w:p>
        </w:tc>
        <w:tc>
          <w:tcPr>
            <w:tcW w:type="dxa" w:w="46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Routing tylko do trudnych dokumentów i analizy sprzeczności.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Structured output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JSON Schema + constrained decoding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vLLM structured outputs; walidacja Pydantic/Zod i automatyczne retry.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Retrieval</w:t>
            </w:r>
          </w:p>
        </w:tc>
        <w:tc>
          <w:tcPr>
            <w:tcW w:type="dxa" w:w="324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BGE‑M3 + reranker / ColQwen‑style visual retrieval</w:t>
            </w:r>
          </w:p>
        </w:tc>
        <w:tc>
          <w:tcPr>
            <w:tcW w:type="dxa" w:w="46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Hybrydowo: tekst, metadane i strony wizualne; zawsze z ACL.</w:t>
            </w:r>
          </w:p>
        </w:tc>
      </w:tr>
    </w:tbl>
    <w:p>
      <w:pPr>
        <w:spacing w:after="20"/>
      </w:pPr>
    </w:p>
    <w:p>
      <w:pPr>
        <w:pStyle w:val="Heading2"/>
      </w:pPr>
      <w:r>
        <w:t>5.1. Ranking praktyczny modeli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Mocne strony</w:t>
            </w:r>
          </w:p>
        </w:tc>
        <w:tc>
          <w:tcPr>
            <w:tcW w:type="dxa" w:w="266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Ograniczenia</w:t>
            </w:r>
          </w:p>
        </w:tc>
        <w:tc>
          <w:tcPr>
            <w:tcW w:type="dxa" w:w="16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Rola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PaddleOCR‑VL 1.6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0.9B, 109 języków, layout, tabele, formuły, 96,3% OmniDocBench v1.6 wg producenta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Nowy stack; wymaga testów ARM64/CUDA i polskiego benchmarku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Primary parser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Qwen3‑VL‑8B Instruct</w:t>
            </w:r>
          </w:p>
        </w:tc>
        <w:tc>
          <w:tcPr>
            <w:tcW w:type="dxa" w:w="352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32 języki OCR, długi kontekst, rozumienie i generowanie, Apache‑2.0</w:t>
            </w:r>
          </w:p>
        </w:tc>
        <w:tc>
          <w:tcPr>
            <w:tcW w:type="dxa" w:w="26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Droższy od parsera; VLM może halucynować bez constraints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Interpretacja + JSON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PP‑OCRv6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1,5–34,5M, 50 języków, bardzo szybki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Mniej rozumienia semantycznego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Fast path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Nemotron OCR v2</w:t>
            </w:r>
          </w:p>
        </w:tc>
        <w:tc>
          <w:tcPr>
            <w:tcW w:type="dxa" w:w="352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54/84M, bbox/confidence, Blackwell/TensorRT, komercyjny</w:t>
            </w:r>
          </w:p>
        </w:tc>
        <w:tc>
          <w:tcPr>
            <w:tcW w:type="dxa" w:w="26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Brak polskiego na liście wariantu multilingual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OCR jęz. wspieranych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DeepSeek‑OCR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Silna kompresja wizualna i przetwarzanie dokumentów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Wymaga odrębnej walidacji jakości/licencji/deploymentu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Eksperyment benchmarkowy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GOT‑OCR 2</w:t>
            </w:r>
          </w:p>
        </w:tc>
        <w:tc>
          <w:tcPr>
            <w:tcW w:type="dxa" w:w="352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Lekki, dobry OCR formatowany</w:t>
            </w:r>
          </w:p>
        </w:tc>
        <w:tc>
          <w:tcPr>
            <w:tcW w:type="dxa" w:w="26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Słabszy pełny workflow dokumentowy niż PaddleOCR‑VL</w:t>
            </w:r>
          </w:p>
        </w:tc>
        <w:tc>
          <w:tcPr>
            <w:tcW w:type="dxa" w:w="165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Model kontrolny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F4E78"/>
              </w:rPr>
              <w:t xml:space="preserve">Wybór na start  </w:t>
            </w:r>
            <w:r>
              <w:t>PaddleOCR‑VL 1.6 + Qwen3‑VL‑8B‑Instruct. Pierwszy model zachowuje strukturę dokumentu, drugi mapuje treść do kontrolowanego schematu i analizuje klauzule. Utrzymać pdf-text fast path i opcjonalny fallback chmurowy per tenant.</w:t>
            </w:r>
          </w:p>
        </w:tc>
      </w:tr>
    </w:tbl>
    <w:p>
      <w:pPr>
        <w:spacing w:after="20"/>
      </w:pPr>
    </w:p>
    <w:p>
      <w:pPr>
        <w:pStyle w:val="Heading2"/>
      </w:pPr>
      <w:r>
        <w:t>5.2. Pipeline produkcyjny</w:t>
      </w:r>
    </w:p>
    <w:p>
      <w:pPr>
        <w:pStyle w:val="ListNumber"/>
        <w:spacing w:after="60"/>
      </w:pPr>
      <w:r>
        <w:t>Ingest → antywirus → hash SHA‑256 → deduplikacja → zapis zaszyfrowanego oryginału.</w:t>
      </w:r>
    </w:p>
    <w:p>
      <w:pPr>
        <w:pStyle w:val="ListNumber"/>
        <w:spacing w:after="60"/>
      </w:pPr>
      <w:r>
        <w:t>Klasyfikacja PDF: tekstowy, skan, hybrydowy; detekcja języka i jakości każdej strony.</w:t>
      </w:r>
    </w:p>
    <w:p>
      <w:pPr>
        <w:pStyle w:val="ListNumber"/>
        <w:spacing w:after="60"/>
      </w:pPr>
      <w:r>
        <w:t>Ekstrakcja wszystkich stron bez próbkowania; parser zwraca tekst, layout, tabele, obrazy, bounding boxes i confidence.</w:t>
      </w:r>
    </w:p>
    <w:p>
      <w:pPr>
        <w:pStyle w:val="ListNumber"/>
        <w:spacing w:after="60"/>
      </w:pPr>
      <w:r>
        <w:t>Klasyfikacja dokumentu i powiązanie z istniejącą relacją kontraktową.</w:t>
      </w:r>
    </w:p>
    <w:p>
      <w:pPr>
        <w:pStyle w:val="ListNumber"/>
        <w:spacing w:after="60"/>
      </w:pPr>
      <w:r>
        <w:t>Ekstrakcja do wersjonowanego JSON Schema; constrained decoding, walidacja typów i reguł biznesowych.</w:t>
      </w:r>
    </w:p>
    <w:p>
      <w:pPr>
        <w:pStyle w:val="ListNumber"/>
        <w:spacing w:after="60"/>
      </w:pPr>
      <w:r>
        <w:t>Drugi przebieg dla klauzul, cen, obowiązków i sprzeczności między dokumentami.</w:t>
      </w:r>
    </w:p>
    <w:p>
      <w:pPr>
        <w:pStyle w:val="ListNumber"/>
        <w:spacing w:after="60"/>
      </w:pPr>
      <w:r>
        <w:t>Normalizacja dat, walut, podmiotów i jednostek; walidacja NIP/KRS opcjonalnie przez rejestry.</w:t>
      </w:r>
    </w:p>
    <w:p>
      <w:pPr>
        <w:pStyle w:val="ListNumber"/>
        <w:spacing w:after="60"/>
      </w:pPr>
      <w:r>
        <w:t>Human review pól poniżej progu; dopiero zatwierdzone/pewne dane generują alerty i zobowiązania.</w:t>
      </w:r>
    </w:p>
    <w:p>
      <w:pPr>
        <w:pStyle w:val="ListNumber"/>
        <w:spacing w:after="60"/>
      </w:pPr>
      <w:r>
        <w:t>Indeks tekstowy i wektorowy z dziedziczeniem ACL; zapis provenance dla każdego fragmentu.</w:t>
      </w:r>
    </w:p>
    <w:p>
      <w:pPr>
        <w:pStyle w:val="ListNumber"/>
        <w:spacing w:after="60"/>
      </w:pPr>
      <w:r>
        <w:t>Monitoring jakości, kosztu, czasu na stronę i driftu modeli.</w:t>
      </w:r>
    </w:p>
    <w:p>
      <w:pPr>
        <w:pStyle w:val="Heading2"/>
      </w:pPr>
      <w:r>
        <w:t>5.3. Minimalny schemat odpowiedzi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Obiekt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Kluczowe pola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document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id, type, language, page_count, sha256, parser_version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parties[]</w:t>
            </w:r>
          </w:p>
        </w:tc>
        <w:tc>
          <w:tcPr>
            <w:tcW w:type="dxa" w:w="74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name, role, NIP/KRS, address, evidence[]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term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start_date, end_date, indefinite, auto_renewal, notice_period, latest_notice_date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financials</w:t>
            </w:r>
          </w:p>
        </w:tc>
        <w:tc>
          <w:tcPr>
            <w:tcW w:type="dxa" w:w="74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currency, net/gross, recurring fees, unit prices, indexation, payment terms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obligations[]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party, action, due rule/date, recurrence, owner, status, evidence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clauses[]</w:t>
            </w:r>
          </w:p>
        </w:tc>
        <w:tc>
          <w:tcPr>
            <w:tcW w:type="dxa" w:w="74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type, normalized value, risk level, playbook deviation, evidence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evidence[]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document_id, page, bbox, quote, confidence, extraction_model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74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status, reviewed_by, reviewed_at, corrections, model/schema versions</w:t>
            </w:r>
          </w:p>
        </w:tc>
      </w:tr>
    </w:tbl>
    <w:p>
      <w:pPr>
        <w:spacing w:after="20"/>
      </w:pPr>
    </w:p>
    <w:p>
      <w:pPr>
        <w:pStyle w:val="Heading1"/>
      </w:pPr>
      <w:r>
        <w:t>6. Docelowy model domenowy i architektura aplikacji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Encja</w:t>
            </w:r>
          </w:p>
        </w:tc>
        <w:tc>
          <w:tcPr>
            <w:tcW w:type="dxa" w:w="633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Cel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Tenant / Organization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Separacja danych, plan, limity, konfiguracja, region danych, polityki AI.</w:t>
            </w:r>
          </w:p>
        </w:tc>
      </w:tr>
      <w:tr>
        <w:tc>
          <w:tcPr>
            <w:tcW w:type="dxa" w:w="302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LegalEntity / Department / CostCenter</w:t>
            </w:r>
          </w:p>
        </w:tc>
        <w:tc>
          <w:tcPr>
            <w:tcW w:type="dxa" w:w="633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Struktura klienta i raportowanie.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Counterparty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Kontrahent z identyfikatorami, kontaktami, ryzykiem i wszystkimi relacjami.</w:t>
            </w:r>
          </w:p>
        </w:tc>
      </w:tr>
      <w:tr>
        <w:tc>
          <w:tcPr>
            <w:tcW w:type="dxa" w:w="302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ContractCase</w:t>
            </w:r>
          </w:p>
        </w:tc>
        <w:tc>
          <w:tcPr>
            <w:tcW w:type="dxa" w:w="633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Biznesowa relacja kontraktowa niezależna od liczby dokumentów.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Document / DocumentVersion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Oryginał, typ, wersja, hash, podpis, retencja, powiązania.</w:t>
            </w:r>
          </w:p>
        </w:tc>
      </w:tr>
      <w:tr>
        <w:tc>
          <w:tcPr>
            <w:tcW w:type="dxa" w:w="302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ExtractedFact / Evidence</w:t>
            </w:r>
          </w:p>
        </w:tc>
        <w:tc>
          <w:tcPr>
            <w:tcW w:type="dxa" w:w="633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Wartość pola wraz ze stroną, bbox, cytatem, confidence i statusem.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Clause / Obligation / Milestone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Ryzyko, czynności do wykonania, właściciele i terminy.</w:t>
            </w:r>
          </w:p>
        </w:tc>
      </w:tr>
      <w:tr>
        <w:tc>
          <w:tcPr>
            <w:tcW w:type="dxa" w:w="302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PriceBook / IndexationRule</w:t>
            </w:r>
          </w:p>
        </w:tc>
        <w:tc>
          <w:tcPr>
            <w:tcW w:type="dxa" w:w="633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Cenniki, stawki, rabaty, waloryzacje i historia.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Workflow / Approval / Task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Procesy akceptacji i odpowiedzialność.</w:t>
            </w:r>
          </w:p>
        </w:tc>
      </w:tr>
      <w:tr>
        <w:tc>
          <w:tcPr>
            <w:tcW w:type="dxa" w:w="302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Notification / Delivery</w:t>
            </w:r>
          </w:p>
        </w:tc>
        <w:tc>
          <w:tcPr>
            <w:tcW w:type="dxa" w:w="633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Reguła, kanał, próby, potwierdzenie i eskalacja.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AuditEvent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Niemodyfikowalny ślad odczytów, zmian, eksportów i działań AI.</w:t>
            </w:r>
          </w:p>
        </w:tc>
      </w:tr>
    </w:tbl>
    <w:p>
      <w:pPr>
        <w:spacing w:after="20"/>
      </w:pPr>
    </w:p>
    <w:p>
      <w:r>
        <w:t>Rekomendowana ewolucja infrastruktury: Next.js jako UI/BFF; osobny backend domenowy (może pozostać TypeScript/NestJS lub modularny Next na etapie 1); Python FastAPI dla Document AI; worker BullMQ/Temporal; PostgreSQL dla danych transakcyjnych i audytu; S3‑compatible object storage dla plików; pgvector/OpenSearch dla retrieval; Redis dla kolejek/cache. MongoDB można utrzymać przejściowo, ale przed skalowaniem SaaS warto porównać koszt migracji do PostgreSQL z dalszym rozwijaniem luźnego schematu.</w:t>
      </w:r>
    </w:p>
    <w:p>
      <w:pPr>
        <w:pStyle w:val="Heading1"/>
      </w:pPr>
      <w:r>
        <w:t>7. Warianty komercyjne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Dla kogo</w:t>
            </w:r>
          </w:p>
        </w:tc>
        <w:tc>
          <w:tcPr>
            <w:tcW w:type="dxa" w:w="38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Zakres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Rozliczenie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SaaS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MŚP bez własnego IT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Multi‑tenant cloud, storage i AI w cenie/limicie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Abonament + użytkownicy + strony/AI + storage</w:t>
            </w:r>
          </w:p>
        </w:tc>
      </w:tr>
      <w:tr>
        <w:tc>
          <w:tcPr>
            <w:tcW w:type="dxa" w:w="180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iSaaS / managed private instance</w:t>
            </w:r>
          </w:p>
        </w:tc>
        <w:tc>
          <w:tcPr>
            <w:tcW w:type="dxa" w:w="237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Firmy z wymaganiami izolacji</w:t>
            </w:r>
          </w:p>
        </w:tc>
        <w:tc>
          <w:tcPr>
            <w:tcW w:type="dxa" w:w="381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Dedykowana instancja/VPC, SSO, osobna baza/klucze, zarządzana aktualizacja</w:t>
            </w:r>
          </w:p>
        </w:tc>
        <w:tc>
          <w:tcPr>
            <w:tcW w:type="dxa" w:w="223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Opłata wdrożeniowa + miesięczny minimum commit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On‑premise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Regulowane lub restrykcyjne organizacje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Kontenery/Kubernetes, lokalny object storage, lokalne modele, offline license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Licencja roczna + wdrożenie + maintenance/support</w:t>
            </w:r>
          </w:p>
        </w:tc>
      </w:tr>
    </w:tbl>
    <w:p>
      <w:pPr>
        <w:spacing w:after="20"/>
      </w:pPr>
    </w:p>
    <w:p>
      <w:r>
        <w:t>Termin „iSaaS” nie ma jednego powszechnie przyjętego znaczenia. W ofercie rekomenduję nazwać ten wariant „Private SaaS / Managed Dedicated”, aby klient od razu rozumiał, że otrzymuje wydzielone środowisko zarządzane przez dostawcę.</w:t>
      </w:r>
    </w:p>
    <w:p>
      <w:pPr>
        <w:pStyle w:val="Heading2"/>
      </w:pPr>
      <w:r>
        <w:t>7.1. Proponowane pakiety i metryka ceny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Pakiet</w:t>
            </w:r>
          </w:p>
        </w:tc>
        <w:tc>
          <w:tcPr>
            <w:tcW w:type="dxa" w:w="55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Przykładowy zakres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Hipoteza ceny netto / mies.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Starter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5 użytkowników, 500 aktywnych umów, alerty, 1 000 stron AI/mies.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299–499 zł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Business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20 użytkowników, 5 000 umów, workflow, PWA, integracje, 5 000 stron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999–1 999 zł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Professional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SSO, playbook, API, faktury/cenniki, zaawansowany audyt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2 999–5 999 zł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Private SaaS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Dedykowane środowisko, SLA, klucze klienta, region/backup</w:t>
            </w:r>
          </w:p>
        </w:tc>
        <w:tc>
          <w:tcPr>
            <w:tcW w:type="dxa" w:w="2880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od 8 000–15 000 zł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On‑premise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Licencja organizacyjna + lokalne AI + aktualizacje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od 80–200 tys. zł/rok + wdrożenie</w:t>
            </w:r>
          </w:p>
        </w:tc>
      </w:tr>
    </w:tbl>
    <w:p>
      <w:pPr>
        <w:spacing w:after="20"/>
      </w:pPr>
    </w:p>
    <w:p>
      <w:r>
        <w:t>Powyższe kwoty są hipotezą do discovery, nie gotowym cennikiem. Nie należy rozliczać wyłącznie „za dokument”, bo wartość rośnie wraz z kontrolowanymi zobowiązaniami i ryzykiem. Dobra metryka hybrydowa: plan bazowy + aktywni użytkownicy + strony przetworzone przez AI + storage; bez opłat za zwykłe odczyty.</w:t>
      </w:r>
    </w:p>
    <w:p>
      <w:pPr>
        <w:pStyle w:val="Heading1"/>
      </w:pPr>
      <w:r>
        <w:t>8. Bezpieczeństwo, zgodność i zaufanie</w:t>
      </w:r>
    </w:p>
    <w:p>
      <w:pPr>
        <w:pStyle w:val="ListBullet"/>
        <w:spacing w:after="60"/>
      </w:pPr>
      <w:r>
        <w:t>Multi‑tenant isolation wymuszona w warstwie danych i testowana automatycznie; `tenantId` w każdym obiekcie domenowym.</w:t>
      </w:r>
    </w:p>
    <w:p>
      <w:pPr>
        <w:pStyle w:val="ListBullet"/>
        <w:spacing w:after="60"/>
      </w:pPr>
      <w:r>
        <w:t>Szyfrowanie TLS i at‑rest; per‑tenant envelope keys w KMS, rotacja sekretów i zakaz przechowywania kluczy API w jawnych ustawieniach.</w:t>
      </w:r>
    </w:p>
    <w:p>
      <w:pPr>
        <w:pStyle w:val="ListBullet"/>
        <w:spacing w:after="60"/>
      </w:pPr>
      <w:r>
        <w:t>SSO OIDC/SAML, SCIM, MFA/passkeys, RBAC+ABAC, dostęp po spółce/dziale/klasyfikacji i osobne role dla audytora.</w:t>
      </w:r>
    </w:p>
    <w:p>
      <w:pPr>
        <w:pStyle w:val="ListBullet"/>
        <w:spacing w:after="60"/>
      </w:pPr>
      <w:r>
        <w:t>Niemodyfikowalny audit trail: odczyt, pobranie, eksport, zmiana pola, decyzja workflow, prompt/model/schema i korekta człowieka.</w:t>
      </w:r>
    </w:p>
    <w:p>
      <w:pPr>
        <w:pStyle w:val="ListBullet"/>
        <w:spacing w:after="60"/>
      </w:pPr>
      <w:r>
        <w:t>Antywirus/CDR, limit typów plików, izolowane workery, ochrona przed prompt injection z dokumentu i DLP w eksportach.</w:t>
      </w:r>
    </w:p>
    <w:p>
      <w:pPr>
        <w:pStyle w:val="ListBullet"/>
        <w:spacing w:after="60"/>
      </w:pPr>
      <w:r>
        <w:t>Backup, PITR, testy odtworzeniowe, RPO/RTO per plan, status page i procedura incydentowa.</w:t>
      </w:r>
    </w:p>
    <w:p>
      <w:pPr>
        <w:pStyle w:val="ListBullet"/>
        <w:spacing w:after="60"/>
      </w:pPr>
      <w:r>
        <w:t>DPA, lista podwykonawców, retencja/usuwanie, eksport danych, region UE i dokumentacja GDPR/AI governance.</w:t>
      </w:r>
    </w:p>
    <w:p>
      <w:pPr>
        <w:pStyle w:val="ListBullet"/>
        <w:spacing w:after="60"/>
      </w:pPr>
      <w:r>
        <w:t>AI nie wydaje autonomicznej opinii prawnej. Interfejs jasno odróżnia ekstrakcję, sugestię ryzyka i zatwierdzony fakt.</w:t>
      </w:r>
    </w:p>
    <w:p>
      <w:pPr>
        <w:pStyle w:val="Heading1"/>
      </w:pPr>
      <w:r>
        <w:t>9. Roadmapa rozwoju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Etap</w:t>
            </w:r>
          </w:p>
        </w:tc>
        <w:tc>
          <w:tcPr>
            <w:tcW w:type="dxa" w:w="151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Horyzont</w:t>
            </w:r>
          </w:p>
        </w:tc>
        <w:tc>
          <w:tcPr>
            <w:tcW w:type="dxa" w:w="691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Rezultat / kryterium wyjścia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0. Stabilizacja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0–4 tyg.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tenantId, bezpieczne pliki/secrets, async jobs, pełne strony, testy i telemetry.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1. Commercial MVP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5–12 tyg.</w:t>
            </w:r>
          </w:p>
        </w:tc>
        <w:tc>
          <w:tcPr>
            <w:tcW w:type="dxa" w:w="69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relacja umowna, dokumenty/wersje, structured facts+evidence, alerty i PWA inbox.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2. Pilot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13–20 tyg.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3–5 klientów, import danych, Outlook/SSO, dashboard kosztów, SLA jakości.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3. Product‑market fit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5–9 mies.</w:t>
            </w:r>
          </w:p>
        </w:tc>
        <w:tc>
          <w:tcPr>
            <w:tcW w:type="dxa" w:w="69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playbook klauzul, workflow akceptacji, RAG z ACL, cenniki/indeksacje.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4. Scale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9–15 mies.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billing, self‑service onboarding, Private SaaS, HA, enterprise audit.</w:t>
            </w:r>
          </w:p>
        </w:tc>
      </w:tr>
      <w:tr>
        <w:tc>
          <w:tcPr>
            <w:tcW w:type="dxa" w:w="19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5. On‑premise GA</w:t>
            </w:r>
          </w:p>
        </w:tc>
        <w:tc>
          <w:tcPr>
            <w:tcW w:type="dxa" w:w="15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12–18 mies.</w:t>
            </w:r>
          </w:p>
        </w:tc>
        <w:tc>
          <w:tcPr>
            <w:tcW w:type="dxa" w:w="691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installer, offline registry/license, upgrade/rollback, observability i support matrix.</w:t>
            </w:r>
          </w:p>
        </w:tc>
      </w:tr>
    </w:tbl>
    <w:p>
      <w:pPr>
        <w:spacing w:after="20"/>
      </w:pPr>
    </w:p>
    <w:p>
      <w:pPr>
        <w:pStyle w:val="Heading2"/>
      </w:pPr>
      <w:r>
        <w:t>9.1. Priorytety backlogu (RICE uproszczony)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Priorytet</w:t>
            </w:r>
          </w:p>
        </w:tc>
        <w:tc>
          <w:tcPr>
            <w:tcW w:type="dxa" w:w="36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Funkcja</w:t>
            </w:r>
          </w:p>
        </w:tc>
        <w:tc>
          <w:tcPr>
            <w:tcW w:type="dxa" w:w="55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Dlaczego teraz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Tenant isolation + audit + secure storage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Warunek sprzedaży i bezpieczeństwa.</w:t>
            </w:r>
          </w:p>
        </w:tc>
      </w:tr>
      <w:tr>
        <w:tc>
          <w:tcPr>
            <w:tcW w:type="dxa" w:w="11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Asynchroniczny ingest wszystkich stron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Eliminuje utratę klauzul i timeouty.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Structured extraction z evidence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Rdzeń zaufania i automatyzacji.</w:t>
            </w:r>
          </w:p>
        </w:tc>
      </w:tr>
      <w:tr>
        <w:tc>
          <w:tcPr>
            <w:tcW w:type="dxa" w:w="11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Relacja umowna + aneksy/OWU/cenniki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Realny model dokumentacji firmowej.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Terminy, reguły wypowiedzeń, eskalacje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Najszybszy mierzalny ROI dla MŚP.</w:t>
            </w:r>
          </w:p>
        </w:tc>
      </w:tr>
      <w:tr>
        <w:tc>
          <w:tcPr>
            <w:tcW w:type="dxa" w:w="11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67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PWA inbox i push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Codzienna użyteczność managerów.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Dashboard kosztów i indeksacji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Wartość dla CFO/zakupów.</w:t>
            </w:r>
          </w:p>
        </w:tc>
      </w:tr>
      <w:tr>
        <w:tc>
          <w:tcPr>
            <w:tcW w:type="dxa" w:w="11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367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RAG/chat z ACL i cytowaniami</w:t>
            </w:r>
          </w:p>
        </w:tc>
        <w:tc>
          <w:tcPr>
            <w:tcW w:type="dxa" w:w="554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Wysoka atrakcyjność, ale zależna od poprawnego ingestu.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Analiza faktur vs umowa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Silny upsell po zbudowaniu cenników.</w:t>
            </w:r>
          </w:p>
        </w:tc>
      </w:tr>
    </w:tbl>
    <w:p>
      <w:pPr>
        <w:spacing w:after="20"/>
      </w:pPr>
    </w:p>
    <w:p>
      <w:pPr>
        <w:pStyle w:val="Heading1"/>
      </w:pPr>
      <w:r>
        <w:t>10. Benchmark i kryteria wyboru modeli</w:t>
      </w:r>
    </w:p>
    <w:p>
      <w:r>
        <w:t>Nie wybierać modelu na podstawie publicznego benchmarku. Zbudować własny „Polish Contract Benchmark” z co najmniej 500 stronami i 100 pakietami dokumentów, obejmującymi skany, tabele, pieczęcie, przekrzywienia, małą czcionkę, aneksy i OWU.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626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Minimalny cel pilota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Kompletność stron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100% stron przetworzonych lub jawnie oznaczonych jako błąd</w:t>
            </w:r>
          </w:p>
        </w:tc>
      </w:tr>
      <w:tr>
        <w:tc>
          <w:tcPr>
            <w:tcW w:type="dxa" w:w="309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CER/WER OCR</w:t>
            </w:r>
          </w:p>
        </w:tc>
        <w:tc>
          <w:tcPr>
            <w:tcW w:type="dxa" w:w="62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Raport per typ dokumentu; próg ustalony po baseline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Field exact match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≥95% dla stron, NIP, dat i kwot po human review; osobno raw</w:t>
            </w:r>
          </w:p>
        </w:tc>
      </w:tr>
      <w:tr>
        <w:tc>
          <w:tcPr>
            <w:tcW w:type="dxa" w:w="309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Evidence accuracy</w:t>
            </w:r>
          </w:p>
        </w:tc>
        <w:tc>
          <w:tcPr>
            <w:tcW w:type="dxa" w:w="62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≥98% wskazań prowadzi do właściwej strony/fragmentu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Critical clause recall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≥98% dla wypowiedzenia, odnowienia, kar, indeksacji i odpowiedzialności</w:t>
            </w:r>
          </w:p>
        </w:tc>
      </w:tr>
      <w:tr>
        <w:tc>
          <w:tcPr>
            <w:tcW w:type="dxa" w:w="309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Hallucination rate</w:t>
            </w:r>
          </w:p>
        </w:tc>
        <w:tc>
          <w:tcPr>
            <w:tcW w:type="dxa" w:w="62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&lt;1% pól bez dowodu; pola niepewne jako null/needs_review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Latency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P50/P95 na stronę i dokument; kolejka nie blokuje UI</w:t>
            </w:r>
          </w:p>
        </w:tc>
      </w:tr>
      <w:tr>
        <w:tc>
          <w:tcPr>
            <w:tcW w:type="dxa" w:w="3096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Cost</w:t>
            </w:r>
          </w:p>
        </w:tc>
        <w:tc>
          <w:tcPr>
            <w:tcW w:type="dxa" w:w="6264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Koszt/100 stron i koszt/aktywna umowa per wariant deploymentu</w:t>
            </w:r>
          </w:p>
        </w:tc>
      </w:tr>
    </w:tbl>
    <w:p>
      <w:pPr>
        <w:spacing w:after="20"/>
      </w:pPr>
    </w:p>
    <w:p>
      <w:pPr>
        <w:pStyle w:val="Heading1"/>
      </w:pPr>
      <w:r>
        <w:t>11. KPI produktu i monetyzacji</w:t>
      </w:r>
    </w:p>
    <w:p>
      <w:pPr>
        <w:pStyle w:val="ListBullet"/>
        <w:spacing w:after="60"/>
      </w:pPr>
      <w:r>
        <w:t>Time‑to‑first‑value: czas od uploadu do zatwierdzonej karty umowy i pierwszego alertu.</w:t>
      </w:r>
    </w:p>
    <w:p>
      <w:pPr>
        <w:pStyle w:val="ListBullet"/>
        <w:spacing w:after="60"/>
      </w:pPr>
      <w:r>
        <w:t>Odsetek pól zatwierdzonych bez korekty oraz liczba korekt na dokument.</w:t>
      </w:r>
    </w:p>
    <w:p>
      <w:pPr>
        <w:pStyle w:val="ListBullet"/>
        <w:spacing w:after="60"/>
      </w:pPr>
      <w:r>
        <w:t>Terminowe działania: % alertów zakończonych przed datą graniczną.</w:t>
      </w:r>
    </w:p>
    <w:p>
      <w:pPr>
        <w:pStyle w:val="ListBullet"/>
        <w:spacing w:after="60"/>
      </w:pPr>
      <w:r>
        <w:t>Wartość unikniętych automatycznych odnowień, kar lub błędnych faktur — deklarowana i udokumentowana.</w:t>
      </w:r>
    </w:p>
    <w:p>
      <w:pPr>
        <w:pStyle w:val="ListBullet"/>
        <w:spacing w:after="60"/>
      </w:pPr>
      <w:r>
        <w:t>Aktywne umowy na klienta, miesięcznie aktywni użytkownicy, retencja logo i expansion MRR.</w:t>
      </w:r>
    </w:p>
    <w:p>
      <w:pPr>
        <w:pStyle w:val="ListBullet"/>
        <w:spacing w:after="60"/>
      </w:pPr>
      <w:r>
        <w:t>Gross margin osobno dla SaaS AI, Private SaaS i supportu on‑premise.</w:t>
      </w:r>
    </w:p>
    <w:p>
      <w:pPr>
        <w:pStyle w:val="ListBullet"/>
        <w:spacing w:after="60"/>
      </w:pPr>
      <w:r>
        <w:t>Czas wdrożenia, importu i konfiguracji playbooka; liczba ticketów na 1000 umów.</w:t>
      </w:r>
    </w:p>
    <w:p>
      <w:pPr>
        <w:pStyle w:val="Heading1"/>
      </w:pPr>
      <w:r>
        <w:t>12. Plan najbliższych 30 dni</w:t>
      </w:r>
    </w:p>
    <w:p>
      <w:pPr>
        <w:pStyle w:val="ListNumber"/>
        <w:spacing w:after="60"/>
      </w:pPr>
      <w:r>
        <w:t>Zamrozić wersję MVP i przygotować 30–50 anonimowych pakietów umów jako złoty zbiór testowy.</w:t>
      </w:r>
    </w:p>
    <w:p>
      <w:pPr>
        <w:pStyle w:val="ListNumber"/>
        <w:spacing w:after="60"/>
      </w:pPr>
      <w:r>
        <w:t>Wprowadzić `tenantId`, `ContractCase`, `Document`, `DocumentVersion`, `ExtractedFact` i `Evidence` oraz migrację obecnych rekordów.</w:t>
      </w:r>
    </w:p>
    <w:p>
      <w:pPr>
        <w:pStyle w:val="ListNumber"/>
        <w:spacing w:after="60"/>
      </w:pPr>
      <w:r>
        <w:t>Oddzielić Document AI do usługi Python i wystawić stabilny interfejs `POST /jobs` + webhook/status.</w:t>
      </w:r>
    </w:p>
    <w:p>
      <w:pPr>
        <w:pStyle w:val="ListNumber"/>
        <w:spacing w:after="60"/>
      </w:pPr>
      <w:r>
        <w:t>Uruchomić na DGX Spark benchmark: PaddleOCR‑VL 1.6, PP‑OCRv6, Qwen3‑VL‑8B oraz co najmniej jeden model kontrolny.</w:t>
      </w:r>
    </w:p>
    <w:p>
      <w:pPr>
        <w:pStyle w:val="ListNumber"/>
        <w:spacing w:after="60"/>
      </w:pPr>
      <w:r>
        <w:t>Zaimplementować pełnostronicowy ingest, JSON Schema, retry i ekran human review z podglądem źródłowej strony.</w:t>
      </w:r>
    </w:p>
    <w:p>
      <w:pPr>
        <w:pStyle w:val="ListNumber"/>
        <w:spacing w:after="60"/>
      </w:pPr>
      <w:r>
        <w:t>Zbudować PWA inbox i pierwsze reguły: koniec umowy, termin wypowiedzenia, auto‑renewal i indeksacja.</w:t>
      </w:r>
    </w:p>
    <w:p>
      <w:pPr>
        <w:pStyle w:val="ListNumber"/>
        <w:spacing w:after="60"/>
      </w:pPr>
      <w:r>
        <w:t>Przeprowadzić 10 rozmów discovery z administracją, CFO, zakupami i kancelariami; nie prezentować tylko UI — mierzyć koszt obecnego procesu.</w:t>
      </w:r>
    </w:p>
    <w:p>
      <w:pPr>
        <w:pStyle w:val="ListNumber"/>
        <w:spacing w:after="60"/>
      </w:pPr>
      <w:r>
        <w:t>Wybrać 2 klientów pilotażowych i uzgodnić kryteria sukcesu, zakres danych, DPA oraz cenę po pilocie.</w:t>
      </w:r>
    </w:p>
    <w:p>
      <w:pPr>
        <w:pStyle w:val="Heading1"/>
      </w:pPr>
      <w:r>
        <w:t>13. Decyzje wymagane przed implementacją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Decyzja</w:t>
            </w:r>
          </w:p>
        </w:tc>
        <w:tc>
          <w:tcPr>
            <w:tcW w:type="dxa" w:w="640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Rekomendowane założenie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Rynek startowy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Polska, MŚP 30–500 pracowników, poziome CLM z modułami branżowymi później.</w:t>
            </w:r>
          </w:p>
        </w:tc>
      </w:tr>
      <w:tr>
        <w:tc>
          <w:tcPr>
            <w:tcW w:type="dxa" w:w="29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Baza danych</w:t>
            </w:r>
          </w:p>
        </w:tc>
        <w:tc>
          <w:tcPr>
            <w:tcW w:type="dxa" w:w="64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Rozpocząć projekt migracji do PostgreSQL; nie blokować 12‑tygodniowego MVP.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Local‑first z opcjonalnym cloud fallback per tenant.</w:t>
            </w:r>
          </w:p>
        </w:tc>
      </w:tr>
      <w:tr>
        <w:tc>
          <w:tcPr>
            <w:tcW w:type="dxa" w:w="29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PWA vs native</w:t>
            </w:r>
          </w:p>
        </w:tc>
        <w:tc>
          <w:tcPr>
            <w:tcW w:type="dxa" w:w="64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PWA w MVP; native dopiero po danych o użyciu mobilnym.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iSaaS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Nazwa handlowa Private SaaS / Managed Dedicated.</w:t>
            </w:r>
          </w:p>
        </w:tc>
      </w:tr>
      <w:tr>
        <w:tc>
          <w:tcPr>
            <w:tcW w:type="dxa" w:w="2952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Odpowiedzialność AI</w:t>
            </w:r>
          </w:p>
        </w:tc>
        <w:tc>
          <w:tcPr>
            <w:tcW w:type="dxa" w:w="6408"/>
            <w:vAlign w:val="center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AI proponuje; krytyczne pola wymagają dowodu i progu pewności/human review.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On‑premise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7"/>
              </w:rPr>
              <w:t>Jedna baza kodu i model deployment profile, bez osobnego forka klienta.</w:t>
            </w:r>
          </w:p>
        </w:tc>
      </w:tr>
    </w:tbl>
    <w:p>
      <w:pPr>
        <w:spacing w:after="20"/>
      </w:pPr>
    </w:p>
    <w:p>
      <w:pPr>
        <w:pStyle w:val="Heading1"/>
      </w:pPr>
      <w:r>
        <w:t>14. Źródła i materiały referencyjne</w:t>
      </w:r>
    </w:p>
    <w:p>
      <w:pPr>
        <w:spacing w:after="20" w:line="240" w:lineRule="auto"/>
      </w:pPr>
      <w:r>
        <w:rPr>
          <w:b/>
          <w:sz w:val="16"/>
        </w:rPr>
        <w:t xml:space="preserve">Repozytorium aplikacji: </w:t>
      </w:r>
      <w:r>
        <w:rPr>
          <w:sz w:val="16"/>
        </w:rPr>
        <w:t>https://github.com/horcon79/contracts-management-app</w:t>
      </w:r>
    </w:p>
    <w:p>
      <w:pPr>
        <w:spacing w:after="20" w:line="240" w:lineRule="auto"/>
      </w:pPr>
      <w:r>
        <w:rPr>
          <w:b/>
          <w:sz w:val="16"/>
        </w:rPr>
        <w:t xml:space="preserve">NVIDIA DGX Spark — hardware overview: </w:t>
      </w:r>
      <w:r>
        <w:rPr>
          <w:sz w:val="16"/>
        </w:rPr>
        <w:t>https://docs.nvidia.com/dgx/dgx-spark/hardware.html</w:t>
      </w:r>
    </w:p>
    <w:p>
      <w:pPr>
        <w:spacing w:after="20" w:line="240" w:lineRule="auto"/>
      </w:pPr>
      <w:r>
        <w:rPr>
          <w:b/>
          <w:sz w:val="16"/>
        </w:rPr>
        <w:t xml:space="preserve">NVIDIA Nemotron OCR v2 — model card: </w:t>
      </w:r>
      <w:r>
        <w:rPr>
          <w:sz w:val="16"/>
        </w:rPr>
        <w:t>https://build.nvidia.com/nvidia/nemotron-ocr-v2/modelcard</w:t>
      </w:r>
    </w:p>
    <w:p>
      <w:pPr>
        <w:spacing w:after="20" w:line="240" w:lineRule="auto"/>
      </w:pPr>
      <w:r>
        <w:rPr>
          <w:b/>
          <w:sz w:val="16"/>
        </w:rPr>
        <w:t xml:space="preserve">PaddleOCR — oficjalna dokumentacja i informacje o VL 1.6 / PP‑OCRv6: </w:t>
      </w:r>
      <w:r>
        <w:rPr>
          <w:sz w:val="16"/>
        </w:rPr>
        <w:t>https://github.com/PaddlePaddle/PaddleOCR/blob/main/docs/index.en.md</w:t>
      </w:r>
    </w:p>
    <w:p>
      <w:pPr>
        <w:spacing w:after="20" w:line="240" w:lineRule="auto"/>
      </w:pPr>
      <w:r>
        <w:rPr>
          <w:b/>
          <w:sz w:val="16"/>
        </w:rPr>
        <w:t xml:space="preserve">Qwen3‑VL‑8B‑Instruct — oficjalna karta modelu: </w:t>
      </w:r>
      <w:r>
        <w:rPr>
          <w:sz w:val="16"/>
        </w:rPr>
        <w:t>https://huggingface.co/Qwen/Qwen3-VL-8B-Instruct</w:t>
      </w:r>
    </w:p>
    <w:p>
      <w:pPr>
        <w:spacing w:after="20" w:line="240" w:lineRule="auto"/>
      </w:pPr>
      <w:r>
        <w:rPr>
          <w:b/>
          <w:sz w:val="16"/>
        </w:rPr>
        <w:t xml:space="preserve">Qwen3‑VL — oficjalne repozytorium: </w:t>
      </w:r>
      <w:r>
        <w:rPr>
          <w:sz w:val="16"/>
        </w:rPr>
        <w:t>https://github.com/QwenLM/Qwen3-VL</w:t>
      </w:r>
    </w:p>
    <w:p>
      <w:pPr>
        <w:spacing w:after="20" w:line="240" w:lineRule="auto"/>
      </w:pPr>
      <w:r>
        <w:rPr>
          <w:b/>
          <w:sz w:val="16"/>
        </w:rPr>
        <w:t xml:space="preserve">vLLM — structured outputs: </w:t>
      </w:r>
      <w:r>
        <w:rPr>
          <w:sz w:val="16"/>
        </w:rPr>
        <w:t>https://docs.vllm.ai/en/latest/features/structured_outputs.html</w:t>
      </w:r>
    </w:p>
    <w:p>
      <w:pPr>
        <w:spacing w:after="20" w:line="240" w:lineRule="auto"/>
      </w:pPr>
      <w:r>
        <w:rPr>
          <w:b/>
          <w:sz w:val="16"/>
        </w:rPr>
        <w:t xml:space="preserve">DeepSeek‑OCR — oficjalna karta modelu: </w:t>
      </w:r>
      <w:r>
        <w:rPr>
          <w:sz w:val="16"/>
        </w:rPr>
        <w:t>https://huggingface.co/deepseek-ai/DeepSeek-OCR</w:t>
      </w:r>
    </w:p>
    <w:p>
      <w:pPr>
        <w:spacing w:after="0" w:line="240" w:lineRule="auto"/>
      </w:pPr>
      <w:r>
        <w:rPr>
          <w:sz w:val="16"/>
        </w:rPr>
        <w:t>Uwaga: parametry i wyniki modeli są aktualne na dzień 25.07.2026 i przed decyzją produkcyjną muszą zostać zweryfikowane na własnym zbiorze polskich umów oraz pod kątem licencji, kompatybilności ARM64 i wybranego runtime.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Wersja 1.0  •  25.07.2026  •  materiał roboczy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6"/>
      </w:rPr>
      <w:t>CONTRACTS AI  |  STRATEGIA PRODUKTU I ARCHITEKTURY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Contracts AI — strategia rozwoju produktu</dc:title>
  <dc:subject>SaaS, Private SaaS i on-premise; OCR/VLM na DGX Spark</dc:subject>
  <dc:creator>Grupa Mojsiuk / Horcon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