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RCA — API Signing Key Exposure via Public Branch Push</w:t>
      </w:r>
    </w:p>
    <w:tbl>
      <w:tblPr>
        <w:tblW w:type="auto" w:w="0"/>
        <w:jc w:val="center"/>
        <w:tblLook w:firstColumn="1" w:firstRow="1" w:lastColumn="0" w:lastRow="0" w:noHBand="0" w:noVBand="1" w:val="04A0"/>
      </w:tblPr>
      <w:tblGrid>
        <w:gridCol w:w="4320"/>
        <w:gridCol w:w="4320"/>
      </w:tblGrid>
      <w:tr>
        <w:tc>
          <w:tcPr>
            <w:tcW w:type="dxa" w:w="4320"/>
            <w:shd w:fill="E8EAF6" w:val="clear"/>
          </w:tcPr>
          <w:p>
            <w:r>
              <w:rPr>
                <w:b/>
                <w:sz w:val="22"/>
              </w:rPr>
              <w:t>Date of Incident</w:t>
            </w:r>
          </w:p>
        </w:tc>
        <w:tc>
          <w:tcPr>
            <w:tcW w:type="dxa" w:w="4320"/>
          </w:tcPr>
          <w:p>
            <w:r>
              <w:rPr>
                <w:sz w:val="22"/>
              </w:rPr>
              <w:t>April 2025</w:t>
            </w:r>
          </w:p>
        </w:tc>
      </w:tr>
      <w:tr>
        <w:tc>
          <w:tcPr>
            <w:tcW w:type="dxa" w:w="4320"/>
            <w:shd w:fill="E8EAF6" w:val="clear"/>
          </w:tcPr>
          <w:p>
            <w:r>
              <w:rPr>
                <w:b/>
                <w:sz w:val="22"/>
              </w:rPr>
              <w:t>Severity</w:t>
            </w:r>
          </w:p>
        </w:tc>
        <w:tc>
          <w:tcPr>
            <w:tcW w:type="dxa" w:w="4320"/>
          </w:tcPr>
          <w:p>
            <w:r>
              <w:rPr>
                <w:sz w:val="22"/>
              </w:rPr>
              <w:t>Critical</w:t>
            </w:r>
          </w:p>
        </w:tc>
      </w:tr>
      <w:tr>
        <w:tc>
          <w:tcPr>
            <w:tcW w:type="dxa" w:w="4320"/>
            <w:shd w:fill="E8EAF6" w:val="clear"/>
          </w:tcPr>
          <w:p>
            <w:r>
              <w:rPr>
                <w:b/>
                <w:sz w:val="22"/>
              </w:rPr>
              <w:t>Status</w:t>
            </w:r>
          </w:p>
        </w:tc>
        <w:tc>
          <w:tcPr>
            <w:tcW w:type="dxa" w:w="4320"/>
          </w:tcPr>
          <w:p>
            <w:r>
              <w:rPr>
                <w:sz w:val="22"/>
              </w:rPr>
              <w:t>Contained — remediation in progress</w:t>
            </w:r>
          </w:p>
        </w:tc>
      </w:tr>
    </w:tbl>
    <w:p/>
    <w:p>
      <w:pPr>
        <w:pStyle w:val="Heading1"/>
      </w:pPr>
      <w:r>
        <w:rPr>
          <w:color w:val="1A1A2E"/>
        </w:rPr>
        <w:t>1. Summary</w:t>
      </w:r>
    </w:p>
    <w:p>
      <w:r>
        <w:rPr>
          <w:b w:val="0"/>
        </w:rPr>
        <w:t>A test API signing key was inadvertently exposed on a public GitHub branch when an AI coding agent pushed code that included the key in test case files. Although the pull request raised from that branch did not contain the test files, the branch itself was publicly accessible. An external attacker discovered the exposed key and attempted unauthorized transactions.</w:t>
      </w:r>
    </w:p>
    <w:p>
      <w:pPr>
        <w:pStyle w:val="Heading1"/>
      </w:pPr>
      <w:r>
        <w:rPr>
          <w:color w:val="1A1A2E"/>
        </w:rPr>
        <w:t>2. Timeline of Events</w:t>
      </w:r>
    </w:p>
    <w:tbl>
      <w:tblPr>
        <w:tblStyle w:val="LightGrid-Accent1"/>
        <w:tblW w:type="auto" w:w="0"/>
        <w:jc w:val="center"/>
        <w:tblLook w:firstColumn="1" w:firstRow="1" w:lastColumn="0" w:lastRow="0" w:noHBand="0" w:noVBand="1" w:val="04A0"/>
      </w:tblPr>
      <w:tblGrid>
        <w:gridCol w:w="4320"/>
        <w:gridCol w:w="4320"/>
      </w:tblGrid>
      <w:tr>
        <w:tc>
          <w:tcPr>
            <w:tcW w:type="dxa" w:w="4320"/>
            <w:shd w:fill="1A1A2E" w:val="clear"/>
          </w:tcPr>
          <w:p>
            <w:r>
              <w:rPr>
                <w:b/>
                <w:color w:val="FFFFFF"/>
                <w:sz w:val="20"/>
              </w:rPr>
              <w:t>Time</w:t>
            </w:r>
          </w:p>
        </w:tc>
        <w:tc>
          <w:tcPr>
            <w:tcW w:type="dxa" w:w="4320"/>
            <w:shd w:fill="1A1A2E" w:val="clear"/>
          </w:tcPr>
          <w:p>
            <w:r>
              <w:rPr>
                <w:b/>
                <w:color w:val="FFFFFF"/>
                <w:sz w:val="20"/>
              </w:rPr>
              <w:t>Event</w:t>
            </w:r>
          </w:p>
        </w:tc>
      </w:tr>
      <w:tr>
        <w:tc>
          <w:tcPr>
            <w:tcW w:type="dxa" w:w="4320"/>
          </w:tcPr>
          <w:p>
            <w:r>
              <w:rPr>
                <w:sz w:val="20"/>
              </w:rPr>
              <w:t>T+0</w:t>
            </w:r>
          </w:p>
        </w:tc>
        <w:tc>
          <w:tcPr>
            <w:tcW w:type="dxa" w:w="4320"/>
          </w:tcPr>
          <w:p>
            <w:r>
              <w:rPr>
                <w:sz w:val="20"/>
              </w:rPr>
              <w:t>AI agent pushes a branch to primevault_api_sdk_public containing API key in test case files</w:t>
            </w:r>
          </w:p>
        </w:tc>
      </w:tr>
      <w:tr>
        <w:tc>
          <w:tcPr>
            <w:tcW w:type="dxa" w:w="4320"/>
          </w:tcPr>
          <w:p>
            <w:r>
              <w:rPr>
                <w:sz w:val="20"/>
              </w:rPr>
              <w:t>T+1</w:t>
            </w:r>
          </w:p>
        </w:tc>
        <w:tc>
          <w:tcPr>
            <w:tcW w:type="dxa" w:w="4320"/>
          </w:tcPr>
          <w:p>
            <w:r>
              <w:rPr>
                <w:sz w:val="20"/>
              </w:rPr>
              <w:t>PR is raised from the branch — PR diff does not include test files, but the branch is public</w:t>
            </w:r>
          </w:p>
        </w:tc>
      </w:tr>
      <w:tr>
        <w:tc>
          <w:tcPr>
            <w:tcW w:type="dxa" w:w="4320"/>
          </w:tcPr>
          <w:p>
            <w:r>
              <w:rPr>
                <w:sz w:val="20"/>
              </w:rPr>
              <w:t>T+2</w:t>
            </w:r>
          </w:p>
        </w:tc>
        <w:tc>
          <w:tcPr>
            <w:tcW w:type="dxa" w:w="4320"/>
          </w:tcPr>
          <w:p>
            <w:r>
              <w:rPr>
                <w:sz w:val="20"/>
              </w:rPr>
              <w:t>Attacker discovers the exposed API key on the public branch</w:t>
            </w:r>
          </w:p>
        </w:tc>
      </w:tr>
      <w:tr>
        <w:tc>
          <w:tcPr>
            <w:tcW w:type="dxa" w:w="4320"/>
          </w:tcPr>
          <w:p>
            <w:r>
              <w:rPr>
                <w:sz w:val="20"/>
              </w:rPr>
              <w:t>T+3</w:t>
            </w:r>
          </w:p>
        </w:tc>
        <w:tc>
          <w:tcPr>
            <w:tcW w:type="dxa" w:w="4320"/>
          </w:tcPr>
          <w:p>
            <w:r>
              <w:rPr>
                <w:sz w:val="20"/>
              </w:rPr>
              <w:t>Attempt 1: Attacker initiates a $1 transfer — succeeds (no approval required for small amount)</w:t>
            </w:r>
          </w:p>
        </w:tc>
      </w:tr>
      <w:tr>
        <w:tc>
          <w:tcPr>
            <w:tcW w:type="dxa" w:w="4320"/>
          </w:tcPr>
          <w:p>
            <w:r>
              <w:rPr>
                <w:sz w:val="20"/>
              </w:rPr>
              <w:t>T+4</w:t>
            </w:r>
          </w:p>
        </w:tc>
        <w:tc>
          <w:tcPr>
            <w:tcW w:type="dxa" w:w="4320"/>
          </w:tcPr>
          <w:p>
            <w:r>
              <w:rPr>
                <w:sz w:val="20"/>
              </w:rPr>
              <w:t>Attempt 2: Attacker initiates a $1,000 transfer — fails (requires policy approval, nobody approves)</w:t>
            </w:r>
          </w:p>
        </w:tc>
      </w:tr>
      <w:tr>
        <w:tc>
          <w:tcPr>
            <w:tcW w:type="dxa" w:w="4320"/>
          </w:tcPr>
          <w:p>
            <w:r>
              <w:rPr>
                <w:sz w:val="20"/>
              </w:rPr>
              <w:t>T+5</w:t>
            </w:r>
          </w:p>
        </w:tc>
        <w:tc>
          <w:tcPr>
            <w:tcW w:type="dxa" w:w="4320"/>
          </w:tcPr>
          <w:p>
            <w:r>
              <w:rPr>
                <w:sz w:val="20"/>
              </w:rPr>
              <w:t>Attempt 3: Attacker initiates a $45,000 transfer — blocked</w:t>
            </w:r>
          </w:p>
        </w:tc>
      </w:tr>
      <w:tr>
        <w:tc>
          <w:tcPr>
            <w:tcW w:type="dxa" w:w="4320"/>
          </w:tcPr>
          <w:p>
            <w:r>
              <w:rPr>
                <w:sz w:val="20"/>
              </w:rPr>
              <w:t>T+6</w:t>
            </w:r>
          </w:p>
        </w:tc>
        <w:tc>
          <w:tcPr>
            <w:tcW w:type="dxa" w:w="4320"/>
          </w:tcPr>
          <w:p>
            <w:r>
              <w:rPr>
                <w:sz w:val="20"/>
              </w:rPr>
              <w:t>Vivek notices unusual activity and asks Tushal: "Are you using your API user for this?"</w:t>
            </w:r>
          </w:p>
        </w:tc>
      </w:tr>
      <w:tr>
        <w:tc>
          <w:tcPr>
            <w:tcW w:type="dxa" w:w="4320"/>
          </w:tcPr>
          <w:p>
            <w:r>
              <w:rPr>
                <w:sz w:val="20"/>
              </w:rPr>
              <w:t>T+7</w:t>
            </w:r>
          </w:p>
        </w:tc>
        <w:tc>
          <w:tcPr>
            <w:tcW w:type="dxa" w:w="4320"/>
          </w:tcPr>
          <w:p>
            <w:r>
              <w:rPr>
                <w:sz w:val="20"/>
              </w:rPr>
              <w:t>Tushal confirms he is not — team recognises the account is under attack</w:t>
            </w:r>
          </w:p>
        </w:tc>
      </w:tr>
      <w:tr>
        <w:tc>
          <w:tcPr>
            <w:tcW w:type="dxa" w:w="4320"/>
          </w:tcPr>
          <w:p>
            <w:r>
              <w:rPr>
                <w:sz w:val="20"/>
              </w:rPr>
              <w:t>T+8</w:t>
            </w:r>
          </w:p>
        </w:tc>
        <w:tc>
          <w:tcPr>
            <w:tcW w:type="dxa" w:w="4320"/>
          </w:tcPr>
          <w:p>
            <w:r>
              <w:rPr>
                <w:sz w:val="20"/>
              </w:rPr>
              <w:t>All access tied to Tushal's user/email is immediately revoked</w:t>
            </w:r>
          </w:p>
        </w:tc>
      </w:tr>
    </w:tbl>
    <w:p/>
    <w:p>
      <w:pPr>
        <w:pStyle w:val="Heading1"/>
      </w:pPr>
      <w:r>
        <w:rPr>
          <w:color w:val="1A1A2E"/>
        </w:rPr>
        <w:t>3. Impact</w:t>
      </w:r>
    </w:p>
    <w:p>
      <w:pPr>
        <w:pStyle w:val="ListBullet"/>
      </w:pPr>
      <w:r>
        <w:rPr>
          <w:b/>
        </w:rPr>
        <w:t xml:space="preserve">Financial loss: </w:t>
      </w:r>
      <w:r>
        <w:t>~$1 (single successful micro-transfer before detection)</w:t>
      </w:r>
    </w:p>
    <w:p>
      <w:pPr>
        <w:pStyle w:val="ListBullet"/>
      </w:pPr>
      <w:r>
        <w:rPr>
          <w:b/>
        </w:rPr>
        <w:t xml:space="preserve">Prevented loss: </w:t>
      </w:r>
      <w:r>
        <w:t>$46,000+ (blocked by approval policy and quick response)</w:t>
      </w:r>
    </w:p>
    <w:p>
      <w:pPr>
        <w:pStyle w:val="ListBullet"/>
      </w:pPr>
      <w:r>
        <w:rPr>
          <w:b/>
        </w:rPr>
        <w:t xml:space="preserve">Credential scope: </w:t>
      </w:r>
      <w:r>
        <w:t>API signing key for one user — revoked immediately</w:t>
      </w:r>
    </w:p>
    <w:p>
      <w:pPr>
        <w:pStyle w:val="ListBullet"/>
      </w:pPr>
      <w:r>
        <w:rPr>
          <w:b/>
        </w:rPr>
        <w:t xml:space="preserve">Data exposure: </w:t>
      </w:r>
      <w:r>
        <w:t>No customer data was accessed or exfiltrated</w:t>
      </w:r>
    </w:p>
    <w:p>
      <w:pPr>
        <w:pStyle w:val="Heading1"/>
      </w:pPr>
      <w:r>
        <w:rPr>
          <w:color w:val="1A1A2E"/>
        </w:rPr>
        <w:t>4. Root Cause</w:t>
      </w:r>
    </w:p>
    <w:p>
      <w:pPr>
        <w:pStyle w:val="ListBullet"/>
      </w:pPr>
      <w:r>
        <w:rPr>
          <w:b/>
        </w:rPr>
        <w:t xml:space="preserve">No secret-scanning in CI or pre-commit — </w:t>
      </w:r>
      <w:r>
        <w:t>The repository had no mechanism to detect secrets before they reached a public branch.</w:t>
      </w:r>
    </w:p>
    <w:p>
      <w:pPr>
        <w:pStyle w:val="ListBullet"/>
      </w:pPr>
      <w:r>
        <w:rPr>
          <w:b/>
        </w:rPr>
        <w:t xml:space="preserve">AI agent pushed directly to a public repo — </w:t>
      </w:r>
      <w:r>
        <w:t>The agent had write access to the public repository and pushed a branch containing test credentials.</w:t>
      </w:r>
    </w:p>
    <w:p>
      <w:pPr>
        <w:pStyle w:val="ListBullet"/>
      </w:pPr>
      <w:r>
        <w:rPr>
          <w:b/>
        </w:rPr>
        <w:t xml:space="preserve">Branch visibility — </w:t>
      </w:r>
      <w:r>
        <w:t>Even though the PR diff was clean, the underlying branch (with test files containing the key) was publicly browsable on GitHub.</w:t>
      </w:r>
    </w:p>
    <w:p>
      <w:pPr>
        <w:pStyle w:val="Heading1"/>
      </w:pPr>
      <w:r>
        <w:rPr>
          <w:color w:val="1A1A2E"/>
        </w:rPr>
        <w:t>5. Why the Approval Policy Saved Us</w:t>
      </w:r>
    </w:p>
    <w:p>
      <w:r>
        <w:rPr>
          <w:b w:val="0"/>
        </w:rPr>
        <w:t>PrimeVault's transaction approval policy requires multi-party sign-off for transfers above a configurable threshold. The attacker could only execute a $1 transfer autonomously. Both the $1,000 and $45,000 attempts required approvals that were never granted, buying the team time to detect and respond.</w:t>
      </w:r>
    </w:p>
    <w:p>
      <w:pPr>
        <w:pStyle w:val="Heading1"/>
      </w:pPr>
      <w:r>
        <w:rPr>
          <w:color w:val="1A1A2E"/>
        </w:rPr>
        <w:t>6. Immediate Actions Taken</w:t>
      </w:r>
    </w:p>
    <w:p>
      <w:pPr>
        <w:pStyle w:val="Heading2"/>
      </w:pPr>
      <w:r>
        <w:rPr>
          <w:color w:val="1A1A2E"/>
        </w:rPr>
        <w:t>6.1  Credential Revocation</w:t>
      </w:r>
    </w:p>
    <w:p>
      <w:pPr>
        <w:pStyle w:val="ListBullet"/>
      </w:pPr>
      <w:r>
        <w:t>All API keys, sessions, and access tied to the compromised user were revoked immediately.</w:t>
      </w:r>
    </w:p>
    <w:p>
      <w:pPr>
        <w:pStyle w:val="ListBullet"/>
      </w:pPr>
      <w:r>
        <w:t>Verified no other credentials were exposed in the repository history.</w:t>
      </w:r>
    </w:p>
    <w:p>
      <w:pPr>
        <w:pStyle w:val="Heading2"/>
      </w:pPr>
      <w:r>
        <w:rPr>
          <w:color w:val="1A1A2E"/>
        </w:rPr>
        <w:t>6.2  Gitleaks — Pre-commit &amp; CI Secret Scanning</w:t>
      </w:r>
    </w:p>
    <w:p>
      <w:pPr>
        <w:pStyle w:val="ListBullet"/>
      </w:pPr>
      <w:r>
        <w:t>Added gitleaks as a pre-commit hook across all SDK repos (Python &amp; JS).</w:t>
      </w:r>
    </w:p>
    <w:p>
      <w:pPr>
        <w:pStyle w:val="ListBullet"/>
      </w:pPr>
      <w:r>
        <w:t>Added gitleaks as a GitHub Actions workflow that runs on every push and PR.</w:t>
      </w:r>
    </w:p>
    <w:p>
      <w:pPr>
        <w:pStyle w:val="ListBullet"/>
      </w:pPr>
      <w:r>
        <w:t>Known false positives (test UUIDs, example keys) are tracked in .gitleaksignore files.</w:t>
      </w:r>
    </w:p>
    <w:p>
      <w:pPr>
        <w:pStyle w:val="Heading2"/>
      </w:pPr>
      <w:r>
        <w:rPr>
          <w:color w:val="1A1A2E"/>
        </w:rPr>
        <w:t>6.3  Private Repo Workflow</w:t>
      </w:r>
    </w:p>
    <w:p>
      <w:pPr>
        <w:pStyle w:val="ListBullet"/>
      </w:pPr>
      <w:r>
        <w:t>Created private mirror repos for both Python and JS SDKs.</w:t>
      </w:r>
    </w:p>
    <w:p>
      <w:pPr>
        <w:pStyle w:val="ListBullet"/>
      </w:pPr>
      <w:r>
        <w:t>All development now happens in private repos.</w:t>
      </w:r>
    </w:p>
    <w:p>
      <w:pPr>
        <w:pStyle w:val="ListBullet"/>
      </w:pPr>
      <w:r>
        <w:t>A manual-trigger GitHub Action (sync-to-public) pushes changes from private main to a PR on the public repo — no direct pushes to public.</w:t>
      </w:r>
    </w:p>
    <w:p>
      <w:pPr>
        <w:pStyle w:val="ListBullet"/>
      </w:pPr>
      <w:r>
        <w:t>Workflow files from the private repo are excluded from sync to prevent leakage.</w:t>
      </w:r>
    </w:p>
    <w:p>
      <w:pPr>
        <w:pStyle w:val="Heading2"/>
      </w:pPr>
      <w:r>
        <w:rPr>
          <w:color w:val="1A1A2E"/>
        </w:rPr>
        <w:t>6.4  NPM Version Monitoring</w:t>
      </w:r>
    </w:p>
    <w:p>
      <w:pPr>
        <w:pStyle w:val="ListBullet"/>
      </w:pPr>
      <w:r>
        <w:t>Added a scheduled GitHub Action that runs hourly to compare package.json version against the npm registry.</w:t>
      </w:r>
    </w:p>
    <w:p>
      <w:pPr>
        <w:pStyle w:val="ListBullet"/>
      </w:pPr>
      <w:r>
        <w:t>Any mismatch triggers a Slack alert — catches unauthorized publishes.</w:t>
      </w:r>
    </w:p>
    <w:p>
      <w:pPr>
        <w:pStyle w:val="Heading2"/>
      </w:pPr>
      <w:r>
        <w:rPr>
          <w:color w:val="1A1A2E"/>
        </w:rPr>
        <w:t>6.5  IAM Role Separation</w:t>
      </w:r>
    </w:p>
    <w:p>
      <w:pPr>
        <w:pStyle w:val="ListBullet"/>
      </w:pPr>
      <w:r>
        <w:t>Created separate IAM roles with least-privilege access.</w:t>
      </w:r>
    </w:p>
    <w:p>
      <w:pPr>
        <w:pStyle w:val="ListBullet"/>
      </w:pPr>
      <w:r>
        <w:t>Python backend roles have no access to TSS or KMS.</w:t>
      </w:r>
    </w:p>
    <w:p>
      <w:pPr>
        <w:pStyle w:val="ListBullet"/>
      </w:pPr>
      <w:r>
        <w:t>Agent (AI) access is restricted — limited to pushing branches/PRs, no direct main branch access.</w:t>
      </w:r>
    </w:p>
    <w:p>
      <w:pPr>
        <w:pStyle w:val="Heading1"/>
      </w:pPr>
      <w:r>
        <w:rPr>
          <w:color w:val="1A1A2E"/>
        </w:rPr>
        <w:t>7. Next Steps</w:t>
      </w:r>
    </w:p>
    <w:p>
      <w:pPr>
        <w:pStyle w:val="Heading2"/>
      </w:pPr>
      <w:r>
        <w:rPr>
          <w:color w:val="1A1A2E"/>
        </w:rPr>
        <w:t>7.1  Session Activity Logging</w:t>
      </w:r>
    </w:p>
    <w:p>
      <w:pPr>
        <w:pStyle w:val="ListBullet"/>
      </w:pPr>
      <w:r>
        <w:t>Implement detailed session activity logging for all API users.</w:t>
      </w:r>
    </w:p>
    <w:p>
      <w:pPr>
        <w:pStyle w:val="ListBullet"/>
      </w:pPr>
      <w:r>
        <w:t>Log every authentication event, transaction initiation, and approval action.</w:t>
      </w:r>
    </w:p>
    <w:p>
      <w:pPr>
        <w:pStyle w:val="Heading2"/>
      </w:pPr>
      <w:r>
        <w:rPr>
          <w:color w:val="1A1A2E"/>
        </w:rPr>
        <w:t>7.2  Slack Alerts on Privileged IAM Usage</w:t>
      </w:r>
    </w:p>
    <w:p>
      <w:pPr>
        <w:pStyle w:val="ListBullet"/>
      </w:pPr>
      <w:r>
        <w:t>Set up real-time Slack notifications when IAM roles with elevated access are used.</w:t>
      </w:r>
    </w:p>
    <w:p>
      <w:pPr>
        <w:pStyle w:val="ListBullet"/>
      </w:pPr>
      <w:r>
        <w:t>Covers: TSS access, KMS access, admin operations.</w:t>
      </w:r>
    </w:p>
    <w:p>
      <w:pPr>
        <w:pStyle w:val="Heading2"/>
      </w:pPr>
      <w:r>
        <w:rPr>
          <w:color w:val="1A1A2E"/>
        </w:rPr>
        <w:t>7.3  Deprecate Broad IAM Access</w:t>
      </w:r>
    </w:p>
    <w:p>
      <w:pPr>
        <w:pStyle w:val="ListBullet"/>
      </w:pPr>
      <w:r>
        <w:t>Migrate all write operations to a super-user page with explicit audit trail.</w:t>
      </w:r>
    </w:p>
    <w:p>
      <w:pPr>
        <w:pStyle w:val="ListBullet"/>
      </w:pPr>
      <w:r>
        <w:t>Deprecate current IAM roles that have write access once the super-user migration is complete.</w:t>
      </w:r>
    </w:p>
    <w:p>
      <w:pPr>
        <w:pStyle w:val="Heading2"/>
      </w:pPr>
      <w:r>
        <w:rPr>
          <w:color w:val="1A1A2E"/>
        </w:rPr>
        <w:t>7.4  Move Write Operations to Enclave</w:t>
      </w:r>
    </w:p>
    <w:p>
      <w:pPr>
        <w:pStyle w:val="ListBullet"/>
      </w:pPr>
      <w:r>
        <w:t>Write operations will be deprecated from the current architecture.</w:t>
      </w:r>
    </w:p>
    <w:p>
      <w:pPr>
        <w:pStyle w:val="ListBullet"/>
      </w:pPr>
      <w:r>
        <w:t>All sensitive write operations will move to an enclave-based execution model.</w:t>
      </w:r>
    </w:p>
    <w:p>
      <w:pPr>
        <w:pStyle w:val="Heading2"/>
      </w:pPr>
      <w:r>
        <w:rPr>
          <w:color w:val="1A1A2E"/>
        </w:rPr>
        <w:t>7.5  Alerts on User &amp; Policy Changes</w:t>
      </w:r>
    </w:p>
    <w:p>
      <w:pPr>
        <w:pStyle w:val="ListBullet"/>
      </w:pPr>
      <w:r>
        <w:t>Any addition of a new user or modification of an approval policy must trigger an alert.</w:t>
      </w:r>
    </w:p>
    <w:p>
      <w:pPr>
        <w:pStyle w:val="ListBullet"/>
      </w:pPr>
      <w:r>
        <w:t>Alert channels: Slack + email to security team.</w:t>
      </w:r>
    </w:p>
    <w:p>
      <w:pPr>
        <w:pStyle w:val="Heading1"/>
      </w:pPr>
      <w:r>
        <w:rPr>
          <w:color w:val="1A1A2E"/>
        </w:rPr>
        <w:t>8. Lessons Learned</w:t>
      </w:r>
    </w:p>
    <w:p>
      <w:pPr>
        <w:pStyle w:val="ListBullet"/>
      </w:pPr>
      <w:r>
        <w:rPr>
          <w:b/>
        </w:rPr>
        <w:t xml:space="preserve">Never push secrets to public repos, even on branches — </w:t>
      </w:r>
      <w:r>
        <w:t>Branch content is as visible as merged code on public repositories.</w:t>
      </w:r>
    </w:p>
    <w:p>
      <w:pPr>
        <w:pStyle w:val="ListBullet"/>
      </w:pPr>
      <w:r>
        <w:rPr>
          <w:b/>
        </w:rPr>
        <w:t xml:space="preserve">AI agents need guardrails — </w:t>
      </w:r>
      <w:r>
        <w:t>Agents with repo write access must be scoped to private repos only, with human review before anything reaches public.</w:t>
      </w:r>
    </w:p>
    <w:p>
      <w:pPr>
        <w:pStyle w:val="ListBullet"/>
      </w:pPr>
      <w:r>
        <w:rPr>
          <w:b/>
        </w:rPr>
        <w:t xml:space="preserve">Approval policies are a critical safety net — </w:t>
      </w:r>
      <w:r>
        <w:t>The multi-party approval requirement prevented a $46K loss and gave the team time to respond.</w:t>
      </w:r>
    </w:p>
    <w:p>
      <w:pPr>
        <w:pStyle w:val="ListBullet"/>
      </w:pPr>
      <w:r>
        <w:rPr>
          <w:b/>
        </w:rPr>
        <w:t xml:space="preserve">Defense in depth works — </w:t>
      </w:r>
      <w:r>
        <w:t>No single control stopped the attack; it was the combination of transaction limits, approval policies, and human vigilance.</w:t>
      </w:r>
    </w:p>
    <w:p>
      <w:pPr>
        <w:pStyle w:val="ListBullet"/>
      </w:pPr>
      <w:r>
        <w:rPr>
          <w:b/>
        </w:rPr>
        <w:t xml:space="preserve">Automate secret detection — </w:t>
      </w:r>
      <w:r>
        <w:t>Manual review cannot reliably catch every secret; pre-commit hooks and CI scanning are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