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551" w:after="567"/>
        <w:rPr/>
      </w:pPr>
      <w:r>
        <w:rPr/>
        <w:t>鲁韵思政大模型建设方案</w:t>
      </w:r>
    </w:p>
    <w:p>
      <w:pPr>
        <w:pStyle w:val="BodyText"/>
        <w:bidi w:val="0"/>
        <w:jc w:val="center"/>
        <w:rPr/>
      </w:pPr>
      <w:r>
        <w:rPr>
          <w:rStyle w:val="Strong"/>
        </w:rPr>
        <w:t>面向山东省大中小学思政课一体化建设的教学智能支持平台</w:t>
      </w:r>
    </w:p>
    <w:p>
      <w:pPr>
        <w:pStyle w:val="BodyText"/>
        <w:bidi w:val="0"/>
        <w:jc w:val="center"/>
        <w:rPr/>
      </w:pPr>
      <w:r>
        <w:rPr>
          <w:rStyle w:val="Strong"/>
        </w:rPr>
        <w:t>版本：</w:t>
      </w:r>
      <w:r>
        <w:rPr>
          <w:rStyle w:val="Strong"/>
        </w:rPr>
        <w:t xml:space="preserve">v1.0 </w:t>
      </w:r>
      <w:r>
        <w:rPr>
          <w:rStyle w:val="Strong"/>
        </w:rPr>
        <w:t>对外方案</w:t>
      </w:r>
    </w:p>
    <w:p>
      <w:pPr>
        <w:pStyle w:val="BodyText"/>
        <w:bidi w:val="0"/>
        <w:jc w:val="center"/>
        <w:rPr/>
      </w:pPr>
      <w:r>
        <w:rPr>
          <w:rStyle w:val="Strong"/>
        </w:rPr>
        <w:t>日期：</w:t>
      </w:r>
      <w:r>
        <w:rPr>
          <w:rStyle w:val="Strong"/>
        </w:rPr>
        <w:t xml:space="preserve">2026 </w:t>
      </w:r>
      <w:r>
        <w:rPr>
          <w:rStyle w:val="Strong"/>
        </w:rPr>
        <w:t xml:space="preserve">年 </w:t>
      </w:r>
      <w:r>
        <w:rPr>
          <w:rStyle w:val="Strong"/>
        </w:rPr>
        <w:t xml:space="preserve">7 </w:t>
      </w:r>
      <w:r>
        <w:rPr>
          <w:rStyle w:val="Strong"/>
        </w:rPr>
        <w:t>月</w:t>
      </w:r>
    </w:p>
    <w:p>
      <w:pPr>
        <w:pStyle w:val="BodyText"/>
        <w:bidi w:val="0"/>
        <w:jc w:val="center"/>
        <w:rPr/>
      </w:pPr>
      <w:r>
        <w:rPr>
          <w:rStyle w:val="Strong"/>
        </w:rPr>
        <w:t>适用对象：建设单位、使用单位、运营单位、信息化管理部门及项目专家组</w:t>
      </w:r>
    </w:p>
    <w:p>
      <w:pPr>
        <w:pStyle w:val="BlockQuotation"/>
        <w:bidi w:val="0"/>
        <w:jc w:val="start"/>
        <w:rPr/>
      </w:pPr>
      <w:r>
        <w:rPr/>
        <w:t>本方案用于项目汇报、合同附件和建设沟通。阶段范围、工程顺序和验收细则以《鲁韵思政大模型：教学与课程论驱动的分阶段开发计划》</w:t>
      </w:r>
      <w:r>
        <w:rPr/>
        <w:t xml:space="preserve">v1.0 </w:t>
      </w:r>
      <w:r>
        <w:rPr/>
        <w:t>签字版为唯一依据。</w:t>
      </w:r>
    </w:p>
    <w:p>
      <w:pPr>
        <w:pStyle w:val="Heading2"/>
        <w:bidi w:val="0"/>
        <w:jc w:val="start"/>
        <w:rPr/>
      </w:pPr>
      <w:r>
        <w:rPr/>
        <w:t>一、方案摘要</w:t>
      </w:r>
    </w:p>
    <w:p>
      <w:pPr>
        <w:pStyle w:val="BodyText"/>
        <w:bidi w:val="0"/>
        <w:rPr/>
      </w:pPr>
      <w:r>
        <w:rPr/>
        <w:t>鲁韵思政大模型面向山东省大中小学思政课教师、教研员、专家和管理人员，建设“可信资料支撑、教学成果生产、证据化诊断、一体化教研、资源运营和安全治理”一体化的教学智能支持平台。</w:t>
      </w:r>
    </w:p>
    <w:p>
      <w:pPr>
        <w:pStyle w:val="BodyText"/>
        <w:bidi w:val="0"/>
        <w:rPr/>
      </w:pPr>
      <w:r>
        <w:rPr/>
        <w:t>项目不把“部署一个开源大模型”视为建设完成，也不采用“一段提示词直接生成整份教案”的简单方式。平台以正式课程文件和授权资料为依据，以教学与课程论结构、专家规则和受控任务流程为约束，以经专项评测的本地模型为生成能力，并通过教师修改、专家审核、版本追溯和持续评测形成质量闭环。</w:t>
      </w:r>
    </w:p>
    <w:p>
      <w:pPr>
        <w:pStyle w:val="BodyText"/>
        <w:bidi w:val="0"/>
        <w:rPr/>
      </w:pPr>
      <w:r>
        <w:rPr/>
        <w:t>项目最终形成两个核心价值：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 xml:space="preserve">教师能够更快查到可信依据，形成可编辑、可诊断、可局部修改、可导出的教学成果。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163" w:leader="none"/>
        </w:tabs>
        <w:bidi w:val="0"/>
        <w:ind w:hanging="283" w:start="1163"/>
        <w:rPr/>
      </w:pPr>
      <w:r>
        <w:rPr/>
        <w:t xml:space="preserve">中心能够管理专业标准、资料、资源审核、质量、安全和运行，而不只是管理模型和问答次数。 </w:t>
      </w:r>
    </w:p>
    <w:p>
      <w:pPr>
        <w:pStyle w:val="Heading2"/>
        <w:bidi w:val="0"/>
        <w:jc w:val="start"/>
        <w:rPr/>
      </w:pPr>
      <w:r>
        <w:rPr/>
        <w:t>二、建设背景</w:t>
      </w:r>
    </w:p>
    <w:p>
      <w:pPr>
        <w:pStyle w:val="BodyText"/>
        <w:bidi w:val="0"/>
        <w:rPr/>
      </w:pPr>
      <w:r>
        <w:rPr/>
        <w:t>山东省大中小学思政课一体化建设需要同时解决课程依据权威、学段递进清晰、课堂设计可实施、教研成果可沉淀和平台运行可治理等问题。现有问答基础版已经具备登录、主题问答、流式输出、历史会话和基础审计能力，但仍缺少专业教学成果对象、可信资料引用、证据化诊断、版本修改、资源审核和生产运营能力。</w:t>
      </w:r>
    </w:p>
    <w:p>
      <w:pPr>
        <w:pStyle w:val="BodyText"/>
        <w:bidi w:val="0"/>
        <w:rPr/>
      </w:pPr>
      <w:r>
        <w:rPr/>
        <w:t>本次建设将平台从“问答工具”升级为“思政教学智能支持工作台”，优先解决教师真实工作中的四类高频任务：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 xml:space="preserve">查政策、课标、教材和中心资料依据。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 xml:space="preserve">形成一节课或一个单元的教学设计。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 xml:space="preserve">诊断并修改已有教案。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163" w:leader="none"/>
        </w:tabs>
        <w:bidi w:val="0"/>
        <w:ind w:hanging="283" w:start="1163"/>
        <w:rPr/>
      </w:pPr>
      <w:r>
        <w:rPr/>
        <w:t xml:space="preserve">生成、保存、复用和导出课堂及教研成果。 </w:t>
      </w:r>
    </w:p>
    <w:p>
      <w:pPr>
        <w:pStyle w:val="Heading2"/>
        <w:bidi w:val="0"/>
        <w:jc w:val="start"/>
        <w:rPr/>
      </w:pPr>
      <w:r>
        <w:rPr/>
        <w:t>三、建设目标与原则</w:t>
      </w:r>
    </w:p>
    <w:p>
      <w:pPr>
        <w:pStyle w:val="Heading3"/>
        <w:bidi w:val="0"/>
        <w:jc w:val="start"/>
        <w:rPr/>
      </w:pPr>
      <w:r>
        <w:rPr/>
        <w:t xml:space="preserve">3.1 </w:t>
      </w:r>
      <w:r>
        <w:rPr/>
        <w:t>建设目标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 xml:space="preserve">建设权属清晰、版本有效、可定位引用的思政课程知识体系。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 xml:space="preserve">建立课程层、单元层、课时层和实施反思层的教学成果结构。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 xml:space="preserve">建设教学设计生成、诊断、局部修改、版本对比和标准导出闭环。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 xml:space="preserve">支持小学、初中、高中、大学四学段及大中小学一体化专题设计。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 xml:space="preserve">建设网页端完整教学工作台和小程序轻量端。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 xml:space="preserve">建立资料、模型、规则、任务、成果、审核和运行的全链路追溯。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163" w:leader="none"/>
        </w:tabs>
        <w:bidi w:val="0"/>
        <w:ind w:hanging="283" w:start="1163"/>
        <w:rPr/>
      </w:pPr>
      <w:r>
        <w:rPr/>
        <w:t xml:space="preserve">支持校内私有化部署，形成可监控、可降级、可恢复、可回滚的运行体系。 </w:t>
      </w:r>
    </w:p>
    <w:p>
      <w:pPr>
        <w:pStyle w:val="Heading3"/>
        <w:bidi w:val="0"/>
        <w:jc w:val="start"/>
        <w:rPr/>
      </w:pPr>
      <w:r>
        <w:rPr/>
        <w:t xml:space="preserve">3.2 </w:t>
      </w:r>
      <w:r>
        <w:rPr/>
        <w:t>建设原则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>
          <w:rStyle w:val="Strong"/>
        </w:rPr>
        <w:t>育人为本：</w:t>
      </w:r>
      <w:r>
        <w:rPr/>
        <w:t xml:space="preserve"> </w:t>
      </w:r>
      <w:r>
        <w:rPr/>
        <w:t xml:space="preserve">AI </w:t>
      </w:r>
      <w:r>
        <w:rPr/>
        <w:t xml:space="preserve">提供依据、草稿和建议，教师和专家保留最终教学判断。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>
          <w:rStyle w:val="Strong"/>
        </w:rPr>
        <w:t>专业约束：</w:t>
      </w:r>
      <w:r>
        <w:rPr/>
        <w:t xml:space="preserve"> 课程标准、教材、专家量规和教学结构共同约束模型输出。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>
          <w:rStyle w:val="Strong"/>
        </w:rPr>
        <w:t>可信可追溯：</w:t>
      </w:r>
      <w:r>
        <w:rPr/>
        <w:t xml:space="preserve"> 政策和教材相关结论展示来源，资料不足时明确提示。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>
          <w:rStyle w:val="Strong"/>
        </w:rPr>
        <w:t>成果导向：</w:t>
      </w:r>
      <w:r>
        <w:rPr/>
        <w:t xml:space="preserve"> 主对象是可编辑、可版本化的教学成果，不是无边界聊天记录。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>
          <w:rStyle w:val="Strong"/>
        </w:rPr>
        <w:t>安全可控：</w:t>
      </w:r>
      <w:r>
        <w:rPr/>
        <w:t xml:space="preserve"> 权限最小化、生成内容有标识、公开发布有人审、重大风险可停用。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163" w:leader="none"/>
        </w:tabs>
        <w:bidi w:val="0"/>
        <w:ind w:hanging="283" w:start="1163"/>
        <w:rPr/>
      </w:pPr>
      <w:r>
        <w:rPr>
          <w:rStyle w:val="Strong"/>
        </w:rPr>
        <w:t>分阶段建设：</w:t>
      </w:r>
      <w:r>
        <w:rPr/>
        <w:t xml:space="preserve"> 先完成一个纵向样板，再扩展四学段、运营和增强能力。 </w:t>
      </w:r>
    </w:p>
    <w:p>
      <w:pPr>
        <w:pStyle w:val="Heading2"/>
        <w:bidi w:val="0"/>
        <w:jc w:val="start"/>
        <w:rPr/>
      </w:pPr>
      <w:r>
        <w:rPr/>
        <w:t>四、服务对象与身份体系</w:t>
      </w:r>
    </w:p>
    <w:p>
      <w:pPr>
        <w:pStyle w:val="Heading3"/>
        <w:bidi w:val="0"/>
        <w:jc w:val="start"/>
        <w:rPr/>
      </w:pPr>
      <w:r>
        <w:rPr/>
        <w:t xml:space="preserve">4.1 </w:t>
      </w:r>
      <w:r>
        <w:rPr/>
        <w:t>主要用户</w:t>
      </w:r>
    </w:p>
    <w:tbl>
      <w:tblPr>
        <w:tblW w:w="5000" w:type="pct"/>
        <w:jc w:val="start"/>
        <w:tblInd w:w="0" w:type="dxa"/>
        <w:tblLayout w:type="fixed"/>
        <w:tblCellMar>
          <w:top w:w="90" w:type="dxa"/>
          <w:start w:w="90" w:type="dxa"/>
          <w:bottom w:w="90" w:type="dxa"/>
          <w:end w:w="90" w:type="dxa"/>
        </w:tblCellMar>
      </w:tblPr>
      <w:tblGrid>
        <w:gridCol w:w="1942"/>
        <w:gridCol w:w="3250"/>
      </w:tblGrid>
      <w:tr>
        <w:trPr>
          <w:tblHeader w:val="true"/>
        </w:trPr>
        <w:tc>
          <w:tcPr>
            <w:tcW w:w="1942" w:type="dxa"/>
            <w:tcBorders/>
            <w:vAlign w:val="center"/>
          </w:tcPr>
          <w:p>
            <w:pPr>
              <w:pStyle w:val="TableHeading"/>
              <w:suppressLineNumbers/>
              <w:shd w:fill="8B1E2D" w:val="clear"/>
              <w:bidi w:val="0"/>
              <w:spacing w:before="454" w:after="454"/>
              <w:jc w:val="center"/>
              <w:rPr/>
            </w:pPr>
            <w:r>
              <w:rPr/>
              <w:t>用户</w:t>
            </w:r>
          </w:p>
        </w:tc>
        <w:tc>
          <w:tcPr>
            <w:tcW w:w="3250" w:type="dxa"/>
            <w:tcBorders/>
            <w:vAlign w:val="center"/>
          </w:tcPr>
          <w:p>
            <w:pPr>
              <w:pStyle w:val="TableHeading"/>
              <w:suppressLineNumbers/>
              <w:shd w:fill="8B1E2D" w:val="clear"/>
              <w:bidi w:val="0"/>
              <w:spacing w:before="454" w:after="454"/>
              <w:jc w:val="center"/>
              <w:rPr/>
            </w:pPr>
            <w:r>
              <w:rPr/>
              <w:t>主要任务</w:t>
            </w:r>
          </w:p>
        </w:tc>
      </w:tr>
      <w:tr>
        <w:trPr/>
        <w:tc>
          <w:tcPr>
            <w:tcW w:w="1942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jc w:val="start"/>
              <w:rPr/>
            </w:pPr>
            <w:r>
              <w:rPr/>
              <w:t>一线教师</w:t>
            </w:r>
          </w:p>
        </w:tc>
        <w:tc>
          <w:tcPr>
            <w:tcW w:w="3250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jc w:val="start"/>
              <w:rPr/>
            </w:pPr>
            <w:r>
              <w:rPr/>
              <w:t>查依据、备课、改教案、生成课堂材料、保存和导出成果</w:t>
            </w:r>
          </w:p>
        </w:tc>
      </w:tr>
      <w:tr>
        <w:trPr/>
        <w:tc>
          <w:tcPr>
            <w:tcW w:w="1942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jc w:val="start"/>
              <w:rPr/>
            </w:pPr>
            <w:r>
              <w:rPr/>
              <w:t>中心专家</w:t>
            </w:r>
            <w:r>
              <w:rPr/>
              <w:t>/</w:t>
            </w:r>
            <w:r>
              <w:rPr/>
              <w:t>审核员</w:t>
            </w:r>
          </w:p>
        </w:tc>
        <w:tc>
          <w:tcPr>
            <w:tcW w:w="3250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jc w:val="start"/>
              <w:rPr/>
            </w:pPr>
            <w:r>
              <w:rPr/>
              <w:t>维护专业量规、审核资料、抽检质量、仲裁争议</w:t>
            </w:r>
          </w:p>
        </w:tc>
      </w:tr>
      <w:tr>
        <w:trPr/>
        <w:tc>
          <w:tcPr>
            <w:tcW w:w="1942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jc w:val="start"/>
              <w:rPr/>
            </w:pPr>
            <w:r>
              <w:rPr/>
              <w:t>教研员</w:t>
            </w:r>
            <w:r>
              <w:rPr/>
              <w:t>/</w:t>
            </w:r>
            <w:r>
              <w:rPr/>
              <w:t>骨干教师</w:t>
            </w:r>
          </w:p>
        </w:tc>
        <w:tc>
          <w:tcPr>
            <w:tcW w:w="3250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jc w:val="start"/>
              <w:rPr/>
            </w:pPr>
            <w:r>
              <w:rPr/>
              <w:t>单元设计、跨学段专题、同课异构、教研成果沉淀</w:t>
            </w:r>
          </w:p>
        </w:tc>
      </w:tr>
      <w:tr>
        <w:trPr/>
        <w:tc>
          <w:tcPr>
            <w:tcW w:w="1942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jc w:val="start"/>
              <w:rPr/>
            </w:pPr>
            <w:r>
              <w:rPr/>
              <w:t>中心管理员</w:t>
            </w:r>
          </w:p>
        </w:tc>
        <w:tc>
          <w:tcPr>
            <w:tcW w:w="3250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jc w:val="start"/>
              <w:rPr/>
            </w:pPr>
            <w:r>
              <w:rPr/>
              <w:t>组织、资源、审核、使用、质量和运行管理</w:t>
            </w:r>
          </w:p>
        </w:tc>
      </w:tr>
      <w:tr>
        <w:trPr/>
        <w:tc>
          <w:tcPr>
            <w:tcW w:w="1942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jc w:val="start"/>
              <w:rPr/>
            </w:pPr>
            <w:r>
              <w:rPr/>
              <w:t>技术运维人员</w:t>
            </w:r>
          </w:p>
        </w:tc>
        <w:tc>
          <w:tcPr>
            <w:tcW w:w="3250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jc w:val="start"/>
              <w:rPr/>
            </w:pPr>
            <w:r>
              <w:rPr/>
              <w:t>模型、任务、容量、故障、安全和版本管理</w:t>
            </w:r>
          </w:p>
        </w:tc>
      </w:tr>
    </w:tbl>
    <w:p>
      <w:pPr>
        <w:pStyle w:val="BodyText"/>
        <w:bidi w:val="0"/>
        <w:rPr/>
      </w:pPr>
      <w:r>
        <w:rPr/>
        <w:t>合同建设周期内不直接向学生开放生成式问答，不根据教案或使用记录推断教师、学生的政治态度、能力等级或职业表现。</w:t>
      </w:r>
    </w:p>
    <w:p>
      <w:pPr>
        <w:pStyle w:val="Heading3"/>
        <w:bidi w:val="0"/>
        <w:jc w:val="start"/>
        <w:rPr/>
      </w:pPr>
      <w:r>
        <w:rPr/>
        <w:t xml:space="preserve">4.2 </w:t>
      </w:r>
      <w:r>
        <w:rPr/>
        <w:t>用户注册与认证</w:t>
      </w:r>
    </w:p>
    <w:p>
      <w:pPr>
        <w:pStyle w:val="BodyText"/>
        <w:bidi w:val="0"/>
        <w:rPr/>
      </w:pPr>
      <w:r>
        <w:rPr/>
        <w:t>用户体系由思政课平台用户管理统一建设和签发身份，本项目不另建注册、短信和实名核验系统。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>
          <w:rStyle w:val="Strong"/>
        </w:rPr>
        <w:t>注册用户：</w:t>
      </w:r>
      <w:r>
        <w:rPr/>
        <w:t xml:space="preserve"> 由既有思政课平台用户管理系统完成手机号验证及姓名、工作单位登记，鲁韵项目只消费平台令牌与身份声明。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163" w:leader="none"/>
        </w:tabs>
        <w:bidi w:val="0"/>
        <w:ind w:hanging="283" w:start="1163"/>
        <w:rPr/>
      </w:pPr>
      <w:r>
        <w:rPr>
          <w:rStyle w:val="Strong"/>
        </w:rPr>
        <w:t>认证用户：</w:t>
      </w:r>
      <w:r>
        <w:rPr/>
        <w:t xml:space="preserve"> 由既有思政课平台通过教育</w:t>
      </w:r>
      <w:r>
        <w:rPr/>
        <w:t>/</w:t>
      </w:r>
      <w:r>
        <w:rPr/>
        <w:t xml:space="preserve">中心统一身份、组织通讯录、合规核身或邀请机制升级，鲁韵项目据此授予教学业务权限。 </w:t>
      </w:r>
    </w:p>
    <w:p>
      <w:pPr>
        <w:pStyle w:val="BodyText"/>
        <w:bidi w:val="0"/>
        <w:rPr/>
      </w:pPr>
      <w:r>
        <w:rPr/>
        <w:t>鲁韵应用只校验平台下发的用户、单位、角色和认证等级等身份声明。</w:t>
      </w:r>
    </w:p>
    <w:p>
      <w:pPr>
        <w:pStyle w:val="Heading2"/>
        <w:bidi w:val="0"/>
        <w:jc w:val="start"/>
        <w:rPr/>
      </w:pPr>
      <w:r>
        <w:rPr/>
        <w:t>五、总体业务架构</w:t>
      </w:r>
    </w:p>
    <w:p>
      <w:pPr>
        <w:pStyle w:val="BodyText"/>
        <w:bidi w:val="0"/>
        <w:rPr/>
      </w:pPr>
      <w:r>
        <w:rPr/>
        <w:t xml:space="preserve">平台采用“任务入口 </w:t>
      </w:r>
      <w:r>
        <w:rPr/>
        <w:t xml:space="preserve">+ </w:t>
      </w:r>
      <w:r>
        <w:rPr/>
        <w:t xml:space="preserve">教学成果 </w:t>
      </w:r>
      <w:r>
        <w:rPr/>
        <w:t xml:space="preserve">+ </w:t>
      </w:r>
      <w:r>
        <w:rPr/>
        <w:t xml:space="preserve">可信知识 </w:t>
      </w:r>
      <w:r>
        <w:rPr/>
        <w:t xml:space="preserve">+ </w:t>
      </w:r>
      <w:r>
        <w:rPr/>
        <w:t xml:space="preserve">专家规则 </w:t>
      </w:r>
      <w:r>
        <w:rPr/>
        <w:t xml:space="preserve">+ </w:t>
      </w:r>
      <w:r>
        <w:rPr/>
        <w:t xml:space="preserve">本地模型 </w:t>
      </w:r>
      <w:r>
        <w:rPr/>
        <w:t xml:space="preserve">+ </w:t>
      </w:r>
      <w:r>
        <w:rPr/>
        <w:t>质量治理”的业务架构。</w:t>
      </w:r>
    </w:p>
    <w:p>
      <w:pPr>
        <w:pStyle w:val="BodyText"/>
        <w:bidi w:val="0"/>
        <w:rPr/>
      </w:pPr>
      <w:r>
        <w:rPr/>
        <w:t>教师从任务入口发起查依据、备课、诊断或导出。系统根据用户确认的学段、教材、班情和成果上下文，执行资料检索、结构规划、分块生成、规则校验和人工确认，并保存全过程版本与引用。</w:t>
      </w:r>
    </w:p>
    <w:p>
      <w:pPr>
        <w:pStyle w:val="Heading3"/>
        <w:bidi w:val="0"/>
        <w:jc w:val="start"/>
        <w:rPr/>
      </w:pPr>
      <w:r>
        <w:rPr/>
        <w:t xml:space="preserve">5.1 </w:t>
      </w:r>
      <w:r>
        <w:rPr/>
        <w:t>受控任务能力</w:t>
      </w:r>
    </w:p>
    <w:p>
      <w:pPr>
        <w:pStyle w:val="BodyText"/>
        <w:bidi w:val="0"/>
        <w:rPr/>
      </w:pPr>
      <w:r>
        <w:rPr/>
        <w:t>平台把检索、对齐、蓝图、分块生成、诊断、修订和导出等能力封装为受控任务单元。每个任务单元具有固定输入输出、版本、权限、配额、超时、降级和审计规则，避免开放无边界工具调用。</w:t>
      </w:r>
    </w:p>
    <w:p>
      <w:pPr>
        <w:pStyle w:val="Heading3"/>
        <w:bidi w:val="0"/>
        <w:jc w:val="start"/>
        <w:rPr/>
      </w:pPr>
      <w:r>
        <w:rPr/>
        <w:t xml:space="preserve">5.2 </w:t>
      </w:r>
      <w:r>
        <w:rPr/>
        <w:t>教学工作记忆</w:t>
      </w:r>
    </w:p>
    <w:p>
      <w:pPr>
        <w:pStyle w:val="BodyText"/>
        <w:bidi w:val="0"/>
        <w:rPr/>
      </w:pPr>
      <w:r>
        <w:rPr/>
        <w:t>经用户明确保存和确认后，平台可复用默认学段、教材版本、导出模板、命名班情和常用成果。用户可查看、修改、导出和清除这些内容。平台不把聊天全文静默拼接为长期画像，不将工作记忆用于教师评分、排名或未经授权的模型训练。</w:t>
      </w:r>
    </w:p>
    <w:p>
      <w:pPr>
        <w:pStyle w:val="Heading2"/>
        <w:bidi w:val="0"/>
        <w:jc w:val="start"/>
        <w:rPr/>
      </w:pPr>
      <w:r>
        <w:rPr/>
        <w:t>六、核心应用能力</w:t>
      </w:r>
    </w:p>
    <w:p>
      <w:pPr>
        <w:pStyle w:val="Heading3"/>
        <w:bidi w:val="0"/>
        <w:jc w:val="start"/>
        <w:rPr/>
      </w:pPr>
      <w:r>
        <w:rPr/>
        <w:t xml:space="preserve">6.1 </w:t>
      </w:r>
      <w:r>
        <w:rPr/>
        <w:t>智能问答与可信资料查询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 xml:space="preserve">支持政策、教材、课程标准、教学设计和教研类即时问答。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 xml:space="preserve">优先检索审核有效的资料并展示文件、章节、页码或段落来源。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 xml:space="preserve">对过期、冲突或资料不足的情况给出明确提示，不编造政策原文。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163" w:leader="none"/>
        </w:tabs>
        <w:bidi w:val="0"/>
        <w:ind w:hanging="283" w:start="1163"/>
        <w:rPr/>
      </w:pPr>
      <w:r>
        <w:rPr/>
        <w:t xml:space="preserve">保留历史会话和轻量兼容入口，但复杂成果进入教学项目工作区。 </w:t>
      </w:r>
    </w:p>
    <w:p>
      <w:pPr>
        <w:pStyle w:val="Heading3"/>
        <w:bidi w:val="0"/>
        <w:jc w:val="start"/>
        <w:rPr/>
      </w:pPr>
      <w:r>
        <w:rPr/>
        <w:t xml:space="preserve">6.2 </w:t>
      </w:r>
      <w:r>
        <w:rPr/>
        <w:t>教学设计生成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 xml:space="preserve">引导教师提供学段、教材、课题、课时、班情、教学重点和实施条件。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 xml:space="preserve">先生成课标对齐卡和“目标—证据—任务—评价”蓝图，再分块生成正文。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 xml:space="preserve">支持章节锁定、局部重生成、撤销、版本对比和修改前后差异。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 xml:space="preserve">支持生成任务单、学习单、问题链、评价量规、板书和课件提纲。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1163" w:leader="none"/>
        </w:tabs>
        <w:bidi w:val="0"/>
        <w:ind w:hanging="283" w:start="1163"/>
        <w:rPr/>
      </w:pPr>
      <w:r>
        <w:rPr/>
        <w:t xml:space="preserve">按客户模板导出 </w:t>
      </w:r>
      <w:r>
        <w:rPr/>
        <w:t>Word</w:t>
      </w:r>
      <w:r>
        <w:rPr/>
        <w:t>、</w:t>
      </w:r>
      <w:r>
        <w:rPr/>
        <w:t xml:space="preserve">PDF </w:t>
      </w:r>
      <w:r>
        <w:rPr/>
        <w:t xml:space="preserve">或可复制文本。 </w:t>
      </w:r>
    </w:p>
    <w:p>
      <w:pPr>
        <w:pStyle w:val="Heading3"/>
        <w:bidi w:val="0"/>
        <w:jc w:val="start"/>
        <w:rPr/>
      </w:pPr>
      <w:r>
        <w:rPr/>
        <w:t xml:space="preserve">6.3 </w:t>
      </w:r>
      <w:r>
        <w:rPr/>
        <w:t>教学设计诊断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 xml:space="preserve">支持粘贴或上传已有教案，并允许教师校正结构识别结果。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 xml:space="preserve">从课程依据、教学目标、学情适配、活动设计、教—学—评一致性、价值与学理统一、评价证据和实施可行性等维度诊断。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 xml:space="preserve">每条诊断提供原文位置、适用规则、可能影响、修改动作和局部示例。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 xml:space="preserve">教师可逐条采纳、忽略、编辑或申请专家复核，只对采纳项生成修改稿。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1163" w:leader="none"/>
        </w:tabs>
        <w:bidi w:val="0"/>
        <w:ind w:hanging="283" w:start="1163"/>
        <w:rPr/>
      </w:pPr>
      <w:r>
        <w:rPr/>
        <w:t xml:space="preserve">诊断对象是教学设计文本及其证据，不输出教师总分、排名或绩效结论。 </w:t>
      </w:r>
    </w:p>
    <w:p>
      <w:pPr>
        <w:pStyle w:val="Heading3"/>
        <w:bidi w:val="0"/>
        <w:jc w:val="start"/>
        <w:rPr/>
      </w:pPr>
      <w:r>
        <w:rPr/>
        <w:t xml:space="preserve">6.4 </w:t>
      </w:r>
      <w:r>
        <w:rPr/>
        <w:t>大中小学一体化专题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 xml:space="preserve">生成小学、初中、高中、大学的目标递进、核心问题、任务和评价证据。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 xml:space="preserve">检查相邻学段之间的重复、越级、断裂和“仅并列四份教案”的假一体化。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 xml:space="preserve">支持山东地方案例在不同学段的任务转换。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1163" w:leader="none"/>
        </w:tabs>
        <w:bidi w:val="0"/>
        <w:ind w:hanging="283" w:start="1163"/>
        <w:rPr/>
      </w:pPr>
      <w:r>
        <w:rPr/>
        <w:t xml:space="preserve">形成跨学段联合教研方案和一体化专题成果。 </w:t>
      </w:r>
    </w:p>
    <w:p>
      <w:pPr>
        <w:pStyle w:val="Heading3"/>
        <w:bidi w:val="0"/>
        <w:jc w:val="start"/>
        <w:rPr/>
      </w:pPr>
      <w:r>
        <w:rPr/>
        <w:t xml:space="preserve">6.5 </w:t>
      </w:r>
      <w:r>
        <w:rPr/>
        <w:t>课堂活动、评价与教研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 xml:space="preserve">生成导入语、问题链、案例辨析、角色任务、小组活动和实践任务。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 xml:space="preserve">生成自评、互评、教师观察和形成性评价工具。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 xml:space="preserve">支持集体备课、同课异构、听评课记录分析、教研纪要和后续任务。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1163" w:leader="none"/>
        </w:tabs>
        <w:bidi w:val="0"/>
        <w:ind w:hanging="283" w:start="1163"/>
        <w:rPr/>
      </w:pPr>
      <w:r>
        <w:rPr/>
        <w:t xml:space="preserve">评价工具服务课堂改进，不形成教师或学生思想状态评分。 </w:t>
      </w:r>
    </w:p>
    <w:p>
      <w:pPr>
        <w:pStyle w:val="Heading3"/>
        <w:bidi w:val="0"/>
        <w:jc w:val="start"/>
        <w:rPr/>
      </w:pPr>
      <w:r>
        <w:rPr/>
        <w:t xml:space="preserve">6.6 </w:t>
      </w:r>
      <w:r>
        <w:rPr/>
        <w:t>资源库、知识库与研修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 xml:space="preserve">资源库面向教师下载、收藏、复用和审核发布；知识库面向模型检索和引用。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 xml:space="preserve">支持资料上传、解析、去重、版本、有效期、权限、审核、停用和重新索引。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 xml:space="preserve">支持政策学习、案例研修、学习摘要、讨论问题、测验题和培训材料生成。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1163" w:leader="none"/>
        </w:tabs>
        <w:bidi w:val="0"/>
        <w:ind w:hanging="283" w:start="1163"/>
        <w:rPr/>
      </w:pPr>
      <w:r>
        <w:rPr/>
        <w:t xml:space="preserve">公开资源必须经过本人授权和专家审核。 </w:t>
      </w:r>
    </w:p>
    <w:p>
      <w:pPr>
        <w:pStyle w:val="Heading3"/>
        <w:bidi w:val="0"/>
        <w:jc w:val="start"/>
        <w:rPr/>
      </w:pPr>
      <w:r>
        <w:rPr/>
        <w:t xml:space="preserve">6.7 </w:t>
      </w:r>
      <w:r>
        <w:rPr/>
        <w:t>管理端与质量运营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 xml:space="preserve">管理组织、角色、用户、资源、知识、模板、审核和反馈。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 xml:space="preserve">展示激活、任务完成、保存、导出、复用、资料不足和质量问题。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 xml:space="preserve">展示队列、容量、失败、降级和恢复状态。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1163" w:leader="none"/>
        </w:tabs>
        <w:bidi w:val="0"/>
        <w:ind w:hanging="283" w:start="1163"/>
        <w:rPr/>
      </w:pPr>
      <w:r>
        <w:rPr/>
        <w:t xml:space="preserve">运营数据用于改进服务和安排教研，不展示教师个人排名。 </w:t>
      </w:r>
    </w:p>
    <w:p>
      <w:pPr>
        <w:pStyle w:val="Heading3"/>
        <w:bidi w:val="0"/>
        <w:jc w:val="start"/>
        <w:rPr/>
      </w:pPr>
      <w:r>
        <w:rPr/>
        <w:t xml:space="preserve">6.8 </w:t>
      </w:r>
      <w:r>
        <w:rPr/>
        <w:t>微信小程序端（合同硬交付）</w:t>
      </w:r>
    </w:p>
    <w:p>
      <w:pPr>
        <w:pStyle w:val="BodyText"/>
        <w:bidi w:val="0"/>
        <w:rPr/>
      </w:pPr>
      <w:r>
        <w:rPr/>
        <w:t xml:space="preserve">小程序在阶段 </w:t>
      </w:r>
      <w:r>
        <w:rPr/>
        <w:t xml:space="preserve">3 </w:t>
      </w:r>
      <w:r>
        <w:rPr/>
        <w:t>建设，是网页端的轻量延伸，必须完成：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 xml:space="preserve">思政课平台统一登录及角色、权限、配额继承。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 xml:space="preserve">可信轻问答和简短教学片段生成。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 xml:space="preserve">历史会话、收藏、通知和异步任务进度。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 xml:space="preserve">从小程序发起任务并跳转网页继续复杂编辑。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1163" w:leader="none"/>
        </w:tabs>
        <w:bidi w:val="0"/>
        <w:ind w:hanging="283" w:start="1163"/>
        <w:rPr/>
      </w:pPr>
      <w:r>
        <w:rPr/>
        <w:t xml:space="preserve">生成内容标识、操作审计和跨端任务一致性。 </w:t>
      </w:r>
    </w:p>
    <w:p>
      <w:pPr>
        <w:pStyle w:val="BodyText"/>
        <w:bidi w:val="0"/>
        <w:rPr/>
      </w:pPr>
      <w:r>
        <w:rPr/>
        <w:t>小程序不承载大文档复杂编辑、完整工作记忆管理、资源审核、管理看板和用户自建开放工具。</w:t>
      </w:r>
    </w:p>
    <w:p>
      <w:pPr>
        <w:pStyle w:val="Heading3"/>
        <w:bidi w:val="0"/>
        <w:jc w:val="start"/>
        <w:rPr/>
      </w:pPr>
      <w:r>
        <w:rPr/>
        <w:t xml:space="preserve">6.9 </w:t>
      </w:r>
      <w:r>
        <w:rPr/>
        <w:t>受控多智能体、多模态与模型优化</w:t>
      </w:r>
    </w:p>
    <w:p>
      <w:pPr>
        <w:pStyle w:val="BodyText"/>
        <w:bidi w:val="0"/>
        <w:rPr/>
      </w:pPr>
      <w:r>
        <w:rPr/>
        <w:t xml:space="preserve">阶段 </w:t>
      </w:r>
      <w:r>
        <w:rPr/>
        <w:t xml:space="preserve">4 </w:t>
      </w:r>
      <w:r>
        <w:rPr/>
        <w:t>在门禁通过的前提下建设：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 xml:space="preserve">教学设计协同生成、教案诊断与证据核验、多模态实施反思三条受控流程。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>图片</w:t>
      </w:r>
      <w:r>
        <w:rPr/>
        <w:t>/</w:t>
      </w:r>
      <w:r>
        <w:rPr/>
        <w:t xml:space="preserve">扫描件区域定位、课堂录音时间戳和授权短视频关键证据定位。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 xml:space="preserve">教师可查看原始区域或时间点并纠正低置信结果。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 xml:space="preserve">多智能体具备工具白名单、最大轮次、超时、预算、人工确认和单工作流回退。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1163" w:leader="none"/>
        </w:tabs>
        <w:bidi w:val="0"/>
        <w:ind w:hanging="283" w:start="1163"/>
        <w:rPr/>
      </w:pPr>
      <w:r>
        <w:rPr/>
        <w:t xml:space="preserve">微调达到数据、质量、安全和硬件门槛时交付模型；不达标时交付完整实验和正式不采纳报告。 </w:t>
      </w:r>
    </w:p>
    <w:p>
      <w:pPr>
        <w:pStyle w:val="BodyText"/>
        <w:bidi w:val="0"/>
        <w:rPr/>
      </w:pPr>
      <w:r>
        <w:rPr/>
        <w:t>平台不建设面部识别、情绪识别、课堂常态监控、思想状态推断和教师绩效评分。</w:t>
      </w:r>
    </w:p>
    <w:p>
      <w:pPr>
        <w:pStyle w:val="Heading2"/>
        <w:bidi w:val="0"/>
        <w:jc w:val="start"/>
        <w:rPr/>
      </w:pPr>
      <w:r>
        <w:rPr/>
        <w:t>七、教学与课程论专业体系</w:t>
      </w:r>
    </w:p>
    <w:p>
      <w:pPr>
        <w:pStyle w:val="BodyText"/>
        <w:bidi w:val="0"/>
        <w:rPr/>
      </w:pPr>
      <w:r>
        <w:rPr/>
        <w:t>平台使用四层教学成果结构：</w:t>
      </w:r>
    </w:p>
    <w:tbl>
      <w:tblPr>
        <w:tblW w:w="5000" w:type="pct"/>
        <w:jc w:val="start"/>
        <w:tblInd w:w="0" w:type="dxa"/>
        <w:tblLayout w:type="fixed"/>
        <w:tblCellMar>
          <w:top w:w="90" w:type="dxa"/>
          <w:start w:w="90" w:type="dxa"/>
          <w:bottom w:w="90" w:type="dxa"/>
          <w:end w:w="90" w:type="dxa"/>
        </w:tblCellMar>
      </w:tblPr>
      <w:tblGrid>
        <w:gridCol w:w="1348"/>
        <w:gridCol w:w="2010"/>
        <w:gridCol w:w="1834"/>
      </w:tblGrid>
      <w:tr>
        <w:trPr>
          <w:tblHeader w:val="true"/>
        </w:trPr>
        <w:tc>
          <w:tcPr>
            <w:tcW w:w="1348" w:type="dxa"/>
            <w:tcBorders/>
            <w:vAlign w:val="center"/>
          </w:tcPr>
          <w:p>
            <w:pPr>
              <w:pStyle w:val="TableHeading"/>
              <w:suppressLineNumbers/>
              <w:shd w:fill="8B1E2D" w:val="clear"/>
              <w:bidi w:val="0"/>
              <w:spacing w:before="454" w:after="454"/>
              <w:jc w:val="center"/>
              <w:rPr/>
            </w:pPr>
            <w:r>
              <w:rPr/>
              <w:t>层级</w:t>
            </w:r>
          </w:p>
        </w:tc>
        <w:tc>
          <w:tcPr>
            <w:tcW w:w="2010" w:type="dxa"/>
            <w:tcBorders/>
            <w:vAlign w:val="center"/>
          </w:tcPr>
          <w:p>
            <w:pPr>
              <w:pStyle w:val="TableHeading"/>
              <w:suppressLineNumbers/>
              <w:shd w:fill="8B1E2D" w:val="clear"/>
              <w:bidi w:val="0"/>
              <w:spacing w:before="454" w:after="454"/>
              <w:jc w:val="center"/>
              <w:rPr/>
            </w:pPr>
            <w:r>
              <w:rPr/>
              <w:t>核心问题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TableHeading"/>
              <w:suppressLineNumbers/>
              <w:shd w:fill="8B1E2D" w:val="clear"/>
              <w:bidi w:val="0"/>
              <w:spacing w:before="454" w:after="454"/>
              <w:jc w:val="center"/>
              <w:rPr/>
            </w:pPr>
            <w:r>
              <w:rPr/>
              <w:t>主要成果</w:t>
            </w:r>
          </w:p>
        </w:tc>
      </w:tr>
      <w:tr>
        <w:trPr/>
        <w:tc>
          <w:tcPr>
            <w:tcW w:w="1348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jc w:val="start"/>
              <w:rPr/>
            </w:pPr>
            <w:r>
              <w:rPr/>
              <w:t>课程层</w:t>
            </w:r>
          </w:p>
        </w:tc>
        <w:tc>
          <w:tcPr>
            <w:tcW w:w="2010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jc w:val="start"/>
              <w:rPr/>
            </w:pPr>
            <w:r>
              <w:rPr/>
              <w:t>为什么教、培养什么、学段如何安排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jc w:val="start"/>
              <w:rPr/>
            </w:pPr>
            <w:r>
              <w:rPr/>
              <w:t>课程实施档案、内容地图、素养发展和学段衔接</w:t>
            </w:r>
          </w:p>
        </w:tc>
      </w:tr>
      <w:tr>
        <w:trPr/>
        <w:tc>
          <w:tcPr>
            <w:tcW w:w="1348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jc w:val="start"/>
              <w:rPr/>
            </w:pPr>
            <w:r>
              <w:rPr/>
              <w:t>单元层</w:t>
            </w:r>
          </w:p>
        </w:tc>
        <w:tc>
          <w:tcPr>
            <w:tcW w:w="2010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jc w:val="start"/>
              <w:rPr/>
            </w:pPr>
            <w:r>
              <w:rPr/>
              <w:t>多个课时如何围绕核心问题形成完整学习过程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jc w:val="start"/>
              <w:rPr/>
            </w:pPr>
            <w:r>
              <w:rPr/>
              <w:t>单元目标、核心议题、表现性任务、证据和课时序列</w:t>
            </w:r>
          </w:p>
        </w:tc>
      </w:tr>
      <w:tr>
        <w:trPr/>
        <w:tc>
          <w:tcPr>
            <w:tcW w:w="1348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jc w:val="start"/>
              <w:rPr/>
            </w:pPr>
            <w:r>
              <w:rPr/>
              <w:t>课时层</w:t>
            </w:r>
          </w:p>
        </w:tc>
        <w:tc>
          <w:tcPr>
            <w:tcW w:w="2010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jc w:val="start"/>
              <w:rPr/>
            </w:pPr>
            <w:r>
              <w:rPr/>
              <w:t>学生经历什么、产生什么学习证据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jc w:val="start"/>
              <w:rPr/>
            </w:pPr>
            <w:r>
              <w:rPr/>
              <w:t>目标、情境、任务链、支架、评价、作业和板书</w:t>
            </w:r>
          </w:p>
        </w:tc>
      </w:tr>
      <w:tr>
        <w:trPr/>
        <w:tc>
          <w:tcPr>
            <w:tcW w:w="1348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jc w:val="start"/>
              <w:rPr/>
            </w:pPr>
            <w:r>
              <w:rPr/>
              <w:t>实施反思层</w:t>
            </w:r>
          </w:p>
        </w:tc>
        <w:tc>
          <w:tcPr>
            <w:tcW w:w="2010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jc w:val="start"/>
              <w:rPr/>
            </w:pPr>
            <w:r>
              <w:rPr/>
              <w:t>实际发生了什么、下一轮如何调整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jc w:val="start"/>
              <w:rPr/>
            </w:pPr>
            <w:r>
              <w:rPr/>
              <w:t>实施证据、偏差原因、局部修改和下一版本</w:t>
            </w:r>
          </w:p>
        </w:tc>
      </w:tr>
    </w:tbl>
    <w:p>
      <w:pPr>
        <w:pStyle w:val="BodyText"/>
        <w:bidi w:val="0"/>
        <w:rPr/>
      </w:pPr>
      <w:r>
        <w:rPr/>
        <w:t>系统不得替教师虚构班情。缺失的学生基础、设备、时间和实施条件必须标记为“假设</w:t>
      </w:r>
      <w:r>
        <w:rPr/>
        <w:t>/</w:t>
      </w:r>
      <w:r>
        <w:rPr/>
        <w:t>待确认”。</w:t>
      </w:r>
    </w:p>
    <w:p>
      <w:pPr>
        <w:pStyle w:val="Heading2"/>
        <w:bidi w:val="0"/>
        <w:jc w:val="start"/>
        <w:rPr/>
      </w:pPr>
      <w:r>
        <w:rPr/>
        <w:t>八、可信知识与模型能力</w:t>
      </w:r>
    </w:p>
    <w:p>
      <w:pPr>
        <w:pStyle w:val="Heading3"/>
        <w:bidi w:val="0"/>
        <w:jc w:val="start"/>
        <w:rPr/>
      </w:pPr>
      <w:r>
        <w:rPr/>
        <w:t xml:space="preserve">8.1 </w:t>
      </w:r>
      <w:r>
        <w:rPr/>
        <w:t>知识来源</w:t>
      </w:r>
    </w:p>
    <w:p>
      <w:pPr>
        <w:pStyle w:val="BodyText"/>
        <w:bidi w:val="0"/>
        <w:rPr/>
      </w:pPr>
      <w:r>
        <w:rPr/>
        <w:t xml:space="preserve">资料按正式政策和课程标准、授权教材教参、中心审核成果、地方权威资源、教师个人资料和 </w:t>
      </w:r>
      <w:r>
        <w:rPr/>
        <w:t xml:space="preserve">AI </w:t>
      </w:r>
      <w:r>
        <w:rPr/>
        <w:t>建议分级管理。权威回答只使用审核有效且权限允许的资料，</w:t>
      </w:r>
      <w:r>
        <w:rPr/>
        <w:t xml:space="preserve">AI </w:t>
      </w:r>
      <w:r>
        <w:rPr/>
        <w:t>生成内容不能反向成为权威来源。</w:t>
      </w:r>
    </w:p>
    <w:p>
      <w:pPr>
        <w:pStyle w:val="Heading3"/>
        <w:bidi w:val="0"/>
        <w:jc w:val="start"/>
        <w:rPr/>
      </w:pPr>
      <w:r>
        <w:rPr/>
        <w:t xml:space="preserve">8.2 </w:t>
      </w:r>
      <w:r>
        <w:rPr/>
        <w:t>模型使用原则</w:t>
      </w:r>
    </w:p>
    <w:p>
      <w:pPr>
        <w:pStyle w:val="BodyText"/>
        <w:bidi w:val="0"/>
        <w:rPr/>
      </w:pPr>
      <w:r>
        <w:rPr/>
        <w:t>本地模型主要承担语义理解、规划、解释和局部生成，不单独决定课程标准有效性、学段边界、引用合法性、公开发布和高风险结论。</w:t>
      </w:r>
    </w:p>
    <w:p>
      <w:pPr>
        <w:pStyle w:val="BodyText"/>
        <w:bidi w:val="0"/>
        <w:rPr/>
      </w:pPr>
      <w:r>
        <w:rPr/>
        <w:t>优化顺序为：结构化约束与工作流、可信检索与重排、提示词和专家规则、</w:t>
      </w:r>
      <w:r>
        <w:rPr/>
        <w:t>LoRA/SFT</w:t>
      </w:r>
      <w:r>
        <w:rPr/>
        <w:t>。领域继续预训练和偏好优化只在数据、权利、质量和业务收益充分时评估，不以“做过训练”作为验收目标。</w:t>
      </w:r>
    </w:p>
    <w:p>
      <w:pPr>
        <w:pStyle w:val="BodyText"/>
        <w:bidi w:val="0"/>
        <w:rPr/>
      </w:pPr>
      <w:r>
        <w:rPr/>
        <w:t xml:space="preserve">正式环境和最终验收默认使用经验证的固定版本 </w:t>
      </w:r>
      <w:r>
        <w:rPr/>
        <w:t xml:space="preserve">vLLM </w:t>
      </w:r>
      <w:r>
        <w:rPr/>
        <w:t>推理服务。业务通过模型网关使用逻辑模型名，不绑定具体模型目录或推理引擎。</w:t>
      </w:r>
    </w:p>
    <w:p>
      <w:pPr>
        <w:pStyle w:val="Heading2"/>
        <w:bidi w:val="0"/>
        <w:jc w:val="start"/>
        <w:rPr/>
      </w:pPr>
      <w:r>
        <w:rPr/>
        <w:t>九、评测、质量与安全治理</w:t>
      </w:r>
    </w:p>
    <w:p>
      <w:pPr>
        <w:pStyle w:val="Heading3"/>
        <w:bidi w:val="0"/>
        <w:jc w:val="start"/>
        <w:rPr/>
      </w:pPr>
      <w:r>
        <w:rPr/>
        <w:t xml:space="preserve">9.1 </w:t>
      </w:r>
      <w:r>
        <w:rPr/>
        <w:t>评测体系</w:t>
      </w:r>
    </w:p>
    <w:p>
      <w:pPr>
        <w:pStyle w:val="BodyText"/>
        <w:bidi w:val="0"/>
        <w:rPr/>
      </w:pPr>
      <w:r>
        <w:rPr/>
        <w:t>平台建立开发集、</w:t>
      </w:r>
      <w:r>
        <w:rPr/>
        <w:t xml:space="preserve">CI </w:t>
      </w:r>
      <w:r>
        <w:rPr/>
        <w:t xml:space="preserve">回归集、密封验收集和线上事件集四套隔离评测库。密封验收集由独立 </w:t>
      </w:r>
      <w:r>
        <w:rPr/>
        <w:t>QA/</w:t>
      </w:r>
      <w:r>
        <w:rPr/>
        <w:t>专家保管，不用于训练、调参或提示词开发。</w:t>
      </w:r>
    </w:p>
    <w:p>
      <w:pPr>
        <w:pStyle w:val="BodyText"/>
        <w:bidi w:val="0"/>
        <w:rPr/>
      </w:pPr>
      <w:r>
        <w:rPr/>
        <w:t>评测覆盖：资料解析与检索、引用支持、教学设计、诊断、思政专业质量、任务体验、运行性能、安全和恢复。关键风险采用双专家标注、仲裁和一致性报告；自动评审不能独立决定政治、教材、引用、安全和隐私门槛。</w:t>
      </w:r>
    </w:p>
    <w:p>
      <w:pPr>
        <w:pStyle w:val="Heading3"/>
        <w:bidi w:val="0"/>
        <w:jc w:val="start"/>
        <w:rPr/>
      </w:pPr>
      <w:r>
        <w:rPr/>
        <w:t xml:space="preserve">9.2 </w:t>
      </w:r>
      <w:r>
        <w:rPr/>
        <w:t>关键质量原则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>伪造引用、重大政治</w:t>
      </w:r>
      <w:r>
        <w:rPr/>
        <w:t>/</w:t>
      </w:r>
      <w:r>
        <w:rPr/>
        <w:t>政策</w:t>
      </w:r>
      <w:r>
        <w:rPr/>
        <w:t>/</w:t>
      </w:r>
      <w:r>
        <w:rPr/>
        <w:t xml:space="preserve">教材事实错误、越权访问和重大隐私事件为一票否决项。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 xml:space="preserve">每个新增学段、课型和教学模式单独验收，不以总体平均值掩盖局部失败。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 xml:space="preserve">资料不足时必须正确拒答或降级为一般教学建议。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1163" w:leader="none"/>
        </w:tabs>
        <w:bidi w:val="0"/>
        <w:ind w:hanging="283" w:start="1163"/>
        <w:rPr/>
      </w:pPr>
      <w:r>
        <w:rPr/>
        <w:t xml:space="preserve">多智能体必须相对单工作流带来可验证收益，否则回退单工作流。 </w:t>
      </w:r>
    </w:p>
    <w:p>
      <w:pPr>
        <w:pStyle w:val="Heading3"/>
        <w:bidi w:val="0"/>
        <w:jc w:val="start"/>
        <w:rPr/>
      </w:pPr>
      <w:r>
        <w:rPr/>
        <w:t xml:space="preserve">9.3 </w:t>
      </w:r>
      <w:r>
        <w:rPr/>
        <w:t>安全与合规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 xml:space="preserve">建立生成式人工智能服务、数据、个人信息、教育场景和内容标识适用性矩阵。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 xml:space="preserve">页面、复制和导出内容按适用要求提供 </w:t>
      </w:r>
      <w:r>
        <w:rPr/>
        <w:t xml:space="preserve">AI </w:t>
      </w:r>
      <w:r>
        <w:rPr/>
        <w:t>生成</w:t>
      </w:r>
      <w:r>
        <w:rPr/>
        <w:t>/</w:t>
      </w:r>
      <w:r>
        <w:rPr/>
        <w:t xml:space="preserve">辅助显式标识和文件元数据隐式标识。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 xml:space="preserve">提供引用纠错、投诉举报、个人信息查阅、更正和删除流程。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>每个阶段门执行独立红队，覆盖提示注入、信息泄漏、供应链、投毒、不安全输出、</w:t>
      </w:r>
      <w:r>
        <w:rPr/>
        <w:t xml:space="preserve">Agent </w:t>
      </w:r>
      <w:r>
        <w:rPr/>
        <w:t xml:space="preserve">越权、向量检索、错误信息和资源耗尽。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1163" w:leader="none"/>
        </w:tabs>
        <w:bidi w:val="0"/>
        <w:ind w:hanging="283" w:start="1163"/>
        <w:rPr/>
      </w:pPr>
      <w:r>
        <w:rPr/>
        <w:t xml:space="preserve">形成 </w:t>
      </w:r>
      <w:r>
        <w:rPr/>
        <w:t xml:space="preserve">AI </w:t>
      </w:r>
      <w:r>
        <w:rPr/>
        <w:t xml:space="preserve">事故分级、停止生成、下架、报告、复盘和恢复机制。 </w:t>
      </w:r>
    </w:p>
    <w:p>
      <w:pPr>
        <w:pStyle w:val="Heading2"/>
        <w:bidi w:val="0"/>
        <w:jc w:val="start"/>
        <w:rPr/>
      </w:pPr>
      <w:r>
        <w:rPr/>
        <w:t>十、部署与运行保障</w:t>
      </w:r>
    </w:p>
    <w:p>
      <w:pPr>
        <w:pStyle w:val="BodyText"/>
        <w:bidi w:val="0"/>
        <w:rPr/>
      </w:pPr>
      <w:r>
        <w:rPr/>
        <w:t>正式生产环境部署在客户校内或客户确认的合规环境，模型、资料、成果和日志不静默发送到外部模型服务。</w:t>
      </w:r>
    </w:p>
    <w:p>
      <w:pPr>
        <w:pStyle w:val="BodyText"/>
        <w:bidi w:val="0"/>
        <w:rPr/>
      </w:pPr>
      <w:r>
        <w:rPr/>
        <w:t>平台采用网页入口、应用服务、异步任务、数据库、对象存储、检索服务、模型网关和本地推理服务分层架构。短问答和检索实时返回，长教案、诊断、解析和导出进入异步队列。</w:t>
      </w:r>
    </w:p>
    <w:p>
      <w:pPr>
        <w:pStyle w:val="BodyText"/>
        <w:bidi w:val="0"/>
        <w:rPr/>
      </w:pPr>
      <w:r>
        <w:rPr/>
        <w:t xml:space="preserve">每次正式发布绑定应用、镜像、模型、提示词、规则、知识、数据、任务能力和导出模板版本；执行专业回归、安全检查、数据库迁移、备份恢复和回滚验证。系统建立服务 </w:t>
      </w:r>
      <w:r>
        <w:rPr/>
        <w:t>SLO</w:t>
      </w:r>
      <w:r>
        <w:rPr/>
        <w:t xml:space="preserve">、知识更新 </w:t>
      </w:r>
      <w:r>
        <w:rPr/>
        <w:t>SLO</w:t>
      </w:r>
      <w:r>
        <w:rPr/>
        <w:t>、</w:t>
      </w:r>
      <w:r>
        <w:rPr/>
        <w:t>RTO/RPO</w:t>
      </w:r>
      <w:r>
        <w:rPr/>
        <w:t>、容量和单位任务成本监控。</w:t>
      </w:r>
    </w:p>
    <w:p>
      <w:pPr>
        <w:pStyle w:val="Heading2"/>
        <w:bidi w:val="0"/>
        <w:jc w:val="start"/>
        <w:rPr/>
      </w:pPr>
      <w:r>
        <w:rPr/>
        <w:t>十一、实施计划</w:t>
      </w:r>
    </w:p>
    <w:p>
      <w:pPr>
        <w:pStyle w:val="BodyText"/>
        <w:bidi w:val="0"/>
        <w:rPr/>
      </w:pPr>
      <w:r>
        <w:rPr/>
        <w:t xml:space="preserve">建议合同完整周期为 </w:t>
      </w:r>
      <w:r>
        <w:rPr/>
        <w:t xml:space="preserve">46—63 </w:t>
      </w:r>
      <w:r>
        <w:rPr/>
        <w:t xml:space="preserve">周。专家、资料、平台接口和硬件均按期到位时争取 </w:t>
      </w:r>
      <w:r>
        <w:rPr/>
        <w:t xml:space="preserve">46—55 </w:t>
      </w:r>
      <w:r>
        <w:rPr/>
        <w:t>周；若关键依赖延迟，不以压缩评测、试点、安全和恢复演练换取工期。</w:t>
      </w:r>
    </w:p>
    <w:tbl>
      <w:tblPr>
        <w:tblW w:w="5000" w:type="pct"/>
        <w:jc w:val="start"/>
        <w:tblInd w:w="0" w:type="dxa"/>
        <w:tblLayout w:type="fixed"/>
        <w:tblCellMar>
          <w:top w:w="90" w:type="dxa"/>
          <w:start w:w="90" w:type="dxa"/>
          <w:bottom w:w="90" w:type="dxa"/>
          <w:end w:w="90" w:type="dxa"/>
        </w:tblCellMar>
      </w:tblPr>
      <w:tblGrid>
        <w:gridCol w:w="1115"/>
        <w:gridCol w:w="1254"/>
        <w:gridCol w:w="1554"/>
        <w:gridCol w:w="1269"/>
      </w:tblGrid>
      <w:tr>
        <w:trPr>
          <w:tblHeader w:val="true"/>
        </w:trPr>
        <w:tc>
          <w:tcPr>
            <w:tcW w:w="1115" w:type="dxa"/>
            <w:tcBorders/>
            <w:vAlign w:val="center"/>
          </w:tcPr>
          <w:p>
            <w:pPr>
              <w:pStyle w:val="TableHeading"/>
              <w:bidi w:val="0"/>
              <w:spacing w:before="454" w:after="454"/>
              <w:ind w:hanging="0" w:start="0" w:end="0"/>
              <w:rPr/>
            </w:pPr>
            <w:r>
              <w:rPr/>
              <w:t>阶段</w:t>
            </w:r>
          </w:p>
        </w:tc>
        <w:tc>
          <w:tcPr>
            <w:tcW w:w="1254" w:type="dxa"/>
            <w:tcBorders/>
            <w:vAlign w:val="center"/>
          </w:tcPr>
          <w:p>
            <w:pPr>
              <w:pStyle w:val="TableHeading"/>
              <w:bidi w:val="0"/>
              <w:spacing w:before="454" w:after="454"/>
              <w:jc w:val="end"/>
              <w:rPr/>
            </w:pPr>
            <w:r>
              <w:rPr/>
              <w:t>周期</w:t>
            </w:r>
          </w:p>
        </w:tc>
        <w:tc>
          <w:tcPr>
            <w:tcW w:w="1554" w:type="dxa"/>
            <w:tcBorders/>
            <w:vAlign w:val="center"/>
          </w:tcPr>
          <w:p>
            <w:pPr>
              <w:pStyle w:val="TableHeading"/>
              <w:suppressLineNumbers/>
              <w:shd w:fill="8B1E2D" w:val="clear"/>
              <w:bidi w:val="0"/>
              <w:spacing w:before="454" w:after="454"/>
              <w:jc w:val="center"/>
              <w:rPr/>
            </w:pPr>
            <w:r>
              <w:rPr/>
              <w:t>主要建设内容</w:t>
            </w:r>
          </w:p>
        </w:tc>
        <w:tc>
          <w:tcPr>
            <w:tcW w:w="1269" w:type="dxa"/>
            <w:tcBorders/>
            <w:vAlign w:val="center"/>
          </w:tcPr>
          <w:p>
            <w:pPr>
              <w:pStyle w:val="TableHeading"/>
              <w:suppressLineNumbers/>
              <w:shd w:fill="8B1E2D" w:val="clear"/>
              <w:bidi w:val="0"/>
              <w:spacing w:before="454" w:after="454"/>
              <w:jc w:val="center"/>
              <w:rPr/>
            </w:pPr>
            <w:r>
              <w:rPr/>
              <w:t>决策门</w:t>
            </w:r>
          </w:p>
        </w:tc>
      </w:tr>
      <w:tr>
        <w:trPr/>
        <w:tc>
          <w:tcPr>
            <w:tcW w:w="1115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ind w:hanging="0" w:start="0" w:end="0"/>
              <w:jc w:val="start"/>
              <w:rPr/>
            </w:pPr>
            <w:r>
              <w:rPr/>
              <w:t xml:space="preserve">阶段 </w:t>
            </w:r>
            <w:r>
              <w:rPr/>
              <w:t xml:space="preserve">0 </w:t>
            </w:r>
            <w:r>
              <w:rPr/>
              <w:t>联合定义与基线</w:t>
            </w:r>
          </w:p>
        </w:tc>
        <w:tc>
          <w:tcPr>
            <w:tcW w:w="1254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jc w:val="end"/>
              <w:rPr/>
            </w:pPr>
            <w:r>
              <w:rPr/>
              <w:t xml:space="preserve">5—7 </w:t>
            </w:r>
            <w:r>
              <w:rPr/>
              <w:t>周</w:t>
            </w:r>
          </w:p>
        </w:tc>
        <w:tc>
          <w:tcPr>
            <w:tcW w:w="1554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jc w:val="start"/>
              <w:rPr/>
            </w:pPr>
            <w:r>
              <w:rPr/>
              <w:t>专业模型、量规、资料授权、合规、评测四库、红队、模型硬件和原型</w:t>
            </w:r>
          </w:p>
        </w:tc>
        <w:tc>
          <w:tcPr>
            <w:tcW w:w="1269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jc w:val="start"/>
              <w:rPr/>
            </w:pPr>
            <w:r>
              <w:rPr/>
              <w:t xml:space="preserve">G0 </w:t>
            </w:r>
            <w:r>
              <w:rPr/>
              <w:t>是否具备全面开发条件</w:t>
            </w:r>
          </w:p>
        </w:tc>
      </w:tr>
      <w:tr>
        <w:trPr/>
        <w:tc>
          <w:tcPr>
            <w:tcW w:w="1115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ind w:hanging="0" w:start="0" w:end="0"/>
              <w:jc w:val="start"/>
              <w:rPr/>
            </w:pPr>
            <w:r>
              <w:rPr/>
              <w:t xml:space="preserve">阶段 </w:t>
            </w:r>
            <w:r>
              <w:rPr/>
              <w:t xml:space="preserve">1 </w:t>
            </w:r>
            <w:r>
              <w:rPr/>
              <w:t>可信底座与纵向样板</w:t>
            </w:r>
          </w:p>
        </w:tc>
        <w:tc>
          <w:tcPr>
            <w:tcW w:w="1254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jc w:val="end"/>
              <w:rPr/>
            </w:pPr>
            <w:r>
              <w:rPr/>
              <w:t xml:space="preserve">9—12 </w:t>
            </w:r>
            <w:r>
              <w:rPr/>
              <w:t>周</w:t>
            </w:r>
          </w:p>
        </w:tc>
        <w:tc>
          <w:tcPr>
            <w:tcW w:w="1554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jc w:val="start"/>
              <w:rPr/>
            </w:pPr>
            <w:r>
              <w:rPr/>
              <w:t xml:space="preserve">1A </w:t>
            </w:r>
            <w:r>
              <w:rPr/>
              <w:t>平台骨架；</w:t>
            </w:r>
            <w:r>
              <w:rPr/>
              <w:t xml:space="preserve">1B </w:t>
            </w:r>
            <w:r>
              <w:rPr/>
              <w:t>查依据、备课、诊断、导出纵向样板</w:t>
            </w:r>
          </w:p>
        </w:tc>
        <w:tc>
          <w:tcPr>
            <w:tcW w:w="1269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jc w:val="start"/>
              <w:rPr/>
            </w:pPr>
            <w:r>
              <w:rPr/>
              <w:t xml:space="preserve">G1 </w:t>
            </w:r>
            <w:r>
              <w:rPr/>
              <w:t>样板是否值得扩展</w:t>
            </w:r>
          </w:p>
        </w:tc>
      </w:tr>
      <w:tr>
        <w:trPr/>
        <w:tc>
          <w:tcPr>
            <w:tcW w:w="1115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ind w:hanging="0" w:start="0" w:end="0"/>
              <w:jc w:val="start"/>
              <w:rPr/>
            </w:pPr>
            <w:r>
              <w:rPr/>
              <w:t xml:space="preserve">阶段 </w:t>
            </w:r>
            <w:r>
              <w:rPr/>
              <w:t xml:space="preserve">2 </w:t>
            </w:r>
            <w:r>
              <w:rPr/>
              <w:t>生产与诊断闭环</w:t>
            </w:r>
          </w:p>
        </w:tc>
        <w:tc>
          <w:tcPr>
            <w:tcW w:w="1254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jc w:val="end"/>
              <w:rPr/>
            </w:pPr>
            <w:r>
              <w:rPr/>
              <w:t xml:space="preserve">8—10 </w:t>
            </w:r>
            <w:r>
              <w:rPr/>
              <w:t>周</w:t>
            </w:r>
          </w:p>
        </w:tc>
        <w:tc>
          <w:tcPr>
            <w:tcW w:w="1554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jc w:val="start"/>
              <w:rPr/>
            </w:pPr>
            <w:r>
              <w:rPr/>
              <w:t>完整生成、诊断、逐条修改、导出、专家回归和真实试点</w:t>
            </w:r>
          </w:p>
        </w:tc>
        <w:tc>
          <w:tcPr>
            <w:tcW w:w="1269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jc w:val="start"/>
              <w:rPr/>
            </w:pPr>
            <w:r>
              <w:rPr/>
              <w:t xml:space="preserve">G2 </w:t>
            </w:r>
            <w:r>
              <w:rPr/>
              <w:t>是否达到受控开放条件</w:t>
            </w:r>
          </w:p>
        </w:tc>
      </w:tr>
      <w:tr>
        <w:trPr/>
        <w:tc>
          <w:tcPr>
            <w:tcW w:w="1115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ind w:hanging="0" w:start="0" w:end="0"/>
              <w:jc w:val="start"/>
              <w:rPr/>
            </w:pPr>
            <w:r>
              <w:rPr/>
              <w:t xml:space="preserve">阶段 </w:t>
            </w:r>
            <w:r>
              <w:rPr/>
              <w:t xml:space="preserve">3 </w:t>
            </w:r>
            <w:r>
              <w:rPr/>
              <w:t>一体化与生产运营</w:t>
            </w:r>
          </w:p>
        </w:tc>
        <w:tc>
          <w:tcPr>
            <w:tcW w:w="1254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jc w:val="end"/>
              <w:rPr/>
            </w:pPr>
            <w:r>
              <w:rPr/>
              <w:t xml:space="preserve">10—14 </w:t>
            </w:r>
            <w:r>
              <w:rPr/>
              <w:t>周</w:t>
            </w:r>
          </w:p>
        </w:tc>
        <w:tc>
          <w:tcPr>
            <w:tcW w:w="1554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jc w:val="start"/>
              <w:rPr/>
            </w:pPr>
            <w:r>
              <w:rPr/>
              <w:t>四学段、一体化、资源、权限、看板、小程序和生产加固</w:t>
            </w:r>
          </w:p>
        </w:tc>
        <w:tc>
          <w:tcPr>
            <w:tcW w:w="1269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jc w:val="start"/>
              <w:rPr/>
            </w:pPr>
            <w:r>
              <w:rPr/>
              <w:t xml:space="preserve">G3 </w:t>
            </w:r>
            <w:r>
              <w:rPr/>
              <w:t>是否扩大区域开放</w:t>
            </w:r>
          </w:p>
        </w:tc>
      </w:tr>
      <w:tr>
        <w:trPr/>
        <w:tc>
          <w:tcPr>
            <w:tcW w:w="1115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ind w:hanging="0" w:start="0" w:end="0"/>
              <w:jc w:val="start"/>
              <w:rPr/>
            </w:pPr>
            <w:r>
              <w:rPr/>
              <w:t xml:space="preserve">阶段 </w:t>
            </w:r>
            <w:r>
              <w:rPr/>
              <w:t xml:space="preserve">4 </w:t>
            </w:r>
            <w:r>
              <w:rPr/>
              <w:t>智能协作与多模态增强</w:t>
            </w:r>
          </w:p>
        </w:tc>
        <w:tc>
          <w:tcPr>
            <w:tcW w:w="1254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jc w:val="end"/>
              <w:rPr/>
            </w:pPr>
            <w:r>
              <w:rPr/>
              <w:t xml:space="preserve">14—20 </w:t>
            </w:r>
            <w:r>
              <w:rPr/>
              <w:t>周</w:t>
            </w:r>
          </w:p>
        </w:tc>
        <w:tc>
          <w:tcPr>
            <w:tcW w:w="1554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jc w:val="start"/>
              <w:rPr/>
            </w:pPr>
            <w:r>
              <w:rPr/>
              <w:t xml:space="preserve">受控多智能体、多模态证据、微调路径 </w:t>
            </w:r>
            <w:r>
              <w:rPr/>
              <w:t xml:space="preserve">A/B </w:t>
            </w:r>
            <w:r>
              <w:rPr/>
              <w:t>和综合试点</w:t>
            </w:r>
          </w:p>
        </w:tc>
        <w:tc>
          <w:tcPr>
            <w:tcW w:w="1269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jc w:val="start"/>
              <w:rPr/>
            </w:pPr>
            <w:r>
              <w:rPr/>
              <w:t xml:space="preserve">G4 </w:t>
            </w:r>
            <w:r>
              <w:rPr/>
              <w:t>合同最终验收</w:t>
            </w:r>
          </w:p>
        </w:tc>
      </w:tr>
    </w:tbl>
    <w:p>
      <w:pPr>
        <w:pStyle w:val="BodyText"/>
        <w:bidi w:val="0"/>
        <w:rPr/>
      </w:pPr>
      <w:r>
        <w:rPr/>
        <w:t>每个阶段以质量决策门为进入下一阶段的条件，不以日期自动放行。</w:t>
      </w:r>
    </w:p>
    <w:p>
      <w:pPr>
        <w:pStyle w:val="Heading2"/>
        <w:bidi w:val="0"/>
        <w:jc w:val="start"/>
        <w:rPr/>
      </w:pPr>
      <w:r>
        <w:rPr/>
        <w:t>十二、主要交付成果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 xml:space="preserve">教学与课程论领域模型、教学设计结构和诊断量规。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 xml:space="preserve">可信知识库、引用服务、资料授权和知识运营制度。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 xml:space="preserve">教学成果工作台、受控任务能力和教学工作记忆。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 xml:space="preserve">教学设计生成、诊断、局部修改、版本对比和标准导出。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 xml:space="preserve">四学段能力及大中小学一体化专题。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 xml:space="preserve">资源审核、管理看板、组织权限和小程序轻量端。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>专家评测集、独立红队、</w:t>
      </w:r>
      <w:r>
        <w:rPr/>
        <w:t>Data Card</w:t>
      </w:r>
      <w:r>
        <w:rPr/>
        <w:t>、</w:t>
      </w:r>
      <w:r>
        <w:rPr/>
        <w:t xml:space="preserve">System Card </w:t>
      </w:r>
      <w:r>
        <w:rPr/>
        <w:t xml:space="preserve">和发布门禁。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 xml:space="preserve">受控多智能体、多模态证据及微调 </w:t>
      </w:r>
      <w:r>
        <w:rPr/>
        <w:t xml:space="preserve">Go/No-Go </w:t>
      </w:r>
      <w:r>
        <w:rPr/>
        <w:t xml:space="preserve">决策包。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1163" w:leader="none"/>
        </w:tabs>
        <w:bidi w:val="0"/>
        <w:ind w:hanging="283" w:start="1163"/>
        <w:rPr/>
      </w:pPr>
      <w:r>
        <w:rPr/>
        <w:t xml:space="preserve">私有化部署、监控、备份、恢复、回滚、培训和运维材料。 </w:t>
      </w:r>
    </w:p>
    <w:p>
      <w:pPr>
        <w:pStyle w:val="Heading2"/>
        <w:bidi w:val="0"/>
        <w:jc w:val="start"/>
        <w:rPr/>
      </w:pPr>
      <w:r>
        <w:rPr/>
        <w:t>十三、验收框架</w:t>
      </w:r>
    </w:p>
    <w:tbl>
      <w:tblPr>
        <w:tblW w:w="5000" w:type="pct"/>
        <w:jc w:val="start"/>
        <w:tblInd w:w="0" w:type="dxa"/>
        <w:tblLayout w:type="fixed"/>
        <w:tblCellMar>
          <w:top w:w="90" w:type="dxa"/>
          <w:start w:w="90" w:type="dxa"/>
          <w:bottom w:w="90" w:type="dxa"/>
          <w:end w:w="90" w:type="dxa"/>
        </w:tblCellMar>
      </w:tblPr>
      <w:tblGrid>
        <w:gridCol w:w="1791"/>
        <w:gridCol w:w="3401"/>
      </w:tblGrid>
      <w:tr>
        <w:trPr>
          <w:tblHeader w:val="true"/>
        </w:trPr>
        <w:tc>
          <w:tcPr>
            <w:tcW w:w="1791" w:type="dxa"/>
            <w:tcBorders/>
            <w:vAlign w:val="center"/>
          </w:tcPr>
          <w:p>
            <w:pPr>
              <w:pStyle w:val="TableHeading"/>
              <w:suppressLineNumbers/>
              <w:shd w:fill="8B1E2D" w:val="clear"/>
              <w:bidi w:val="0"/>
              <w:spacing w:before="454" w:after="454"/>
              <w:jc w:val="center"/>
              <w:rPr/>
            </w:pPr>
            <w:r>
              <w:rPr/>
              <w:t>验收领域</w:t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TableHeading"/>
              <w:suppressLineNumbers/>
              <w:shd w:fill="8B1E2D" w:val="clear"/>
              <w:bidi w:val="0"/>
              <w:spacing w:before="454" w:after="454"/>
              <w:jc w:val="center"/>
              <w:rPr/>
            </w:pPr>
            <w:r>
              <w:rPr/>
              <w:t>核心要求</w:t>
            </w:r>
          </w:p>
        </w:tc>
      </w:tr>
      <w:tr>
        <w:trPr/>
        <w:tc>
          <w:tcPr>
            <w:tcW w:w="1791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jc w:val="start"/>
              <w:rPr/>
            </w:pPr>
            <w:r>
              <w:rPr/>
              <w:t>可信问答</w:t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jc w:val="start"/>
              <w:rPr/>
            </w:pPr>
            <w:r>
              <w:rPr/>
              <w:t>正确展示来源；资料不足不编造；权限过滤无跨组织泄漏</w:t>
            </w:r>
          </w:p>
        </w:tc>
      </w:tr>
      <w:tr>
        <w:trPr/>
        <w:tc>
          <w:tcPr>
            <w:tcW w:w="1791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jc w:val="start"/>
              <w:rPr/>
            </w:pPr>
            <w:r>
              <w:rPr/>
              <w:t>教学设计</w:t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jc w:val="start"/>
              <w:rPr/>
            </w:pPr>
            <w:r>
              <w:rPr/>
              <w:t>结构完整、依据可追溯、学段适配、可编辑、可导出</w:t>
            </w:r>
          </w:p>
        </w:tc>
      </w:tr>
      <w:tr>
        <w:trPr/>
        <w:tc>
          <w:tcPr>
            <w:tcW w:w="1791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jc w:val="start"/>
              <w:rPr/>
            </w:pPr>
            <w:r>
              <w:rPr/>
              <w:t>教案诊断</w:t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jc w:val="start"/>
              <w:rPr/>
            </w:pPr>
            <w:r>
              <w:rPr/>
              <w:t>问题有原文证据和规则依据；建议可执行；不对教师评分排名</w:t>
            </w:r>
          </w:p>
        </w:tc>
      </w:tr>
      <w:tr>
        <w:trPr/>
        <w:tc>
          <w:tcPr>
            <w:tcW w:w="1791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jc w:val="start"/>
              <w:rPr/>
            </w:pPr>
            <w:r>
              <w:rPr/>
              <w:t>一体化</w:t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jc w:val="start"/>
              <w:rPr/>
            </w:pPr>
            <w:r>
              <w:rPr/>
              <w:t>体现目标、内容、任务和证据的真实递进，不是四份教案拼接</w:t>
            </w:r>
          </w:p>
        </w:tc>
      </w:tr>
      <w:tr>
        <w:trPr/>
        <w:tc>
          <w:tcPr>
            <w:tcW w:w="1791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jc w:val="start"/>
              <w:rPr/>
            </w:pPr>
            <w:r>
              <w:rPr/>
              <w:t>小程序</w:t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jc w:val="start"/>
              <w:rPr/>
            </w:pPr>
            <w:r>
              <w:rPr/>
              <w:t>统一登录、轻问答、收藏</w:t>
            </w:r>
            <w:r>
              <w:rPr/>
              <w:t>/</w:t>
            </w:r>
            <w:r>
              <w:rPr/>
              <w:t>历史、通知、任务进度、跨端续办、标识和审计</w:t>
            </w:r>
          </w:p>
        </w:tc>
      </w:tr>
      <w:tr>
        <w:trPr/>
        <w:tc>
          <w:tcPr>
            <w:tcW w:w="1791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jc w:val="start"/>
              <w:rPr/>
            </w:pPr>
            <w:r>
              <w:rPr/>
              <w:t>安全合规</w:t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jc w:val="start"/>
              <w:rPr/>
            </w:pPr>
            <w:r>
              <w:rPr/>
              <w:t>权限、隐私、标识、投诉纠错、独立红队和事故流程通过</w:t>
            </w:r>
          </w:p>
        </w:tc>
      </w:tr>
      <w:tr>
        <w:trPr/>
        <w:tc>
          <w:tcPr>
            <w:tcW w:w="1791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jc w:val="start"/>
              <w:rPr/>
            </w:pPr>
            <w:r>
              <w:rPr/>
              <w:t>模型与增强能力</w:t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jc w:val="start"/>
              <w:rPr/>
            </w:pPr>
            <w:r>
              <w:rPr/>
              <w:t>固定版本、可追溯、可降级；</w:t>
            </w:r>
            <w:r>
              <w:rPr/>
              <w:t>Agent/</w:t>
            </w:r>
            <w:r>
              <w:rPr/>
              <w:t>多模态</w:t>
            </w:r>
            <w:r>
              <w:rPr/>
              <w:t>/</w:t>
            </w:r>
            <w:r>
              <w:rPr/>
              <w:t xml:space="preserve">微调分别通过门禁或形成正式 </w:t>
            </w:r>
            <w:r>
              <w:rPr/>
              <w:t>No-Go</w:t>
            </w:r>
          </w:p>
        </w:tc>
      </w:tr>
      <w:tr>
        <w:trPr/>
        <w:tc>
          <w:tcPr>
            <w:tcW w:w="1791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jc w:val="start"/>
              <w:rPr/>
            </w:pPr>
            <w:r>
              <w:rPr/>
              <w:t>运行保障</w:t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TableContents"/>
              <w:bidi w:val="0"/>
              <w:spacing w:before="454" w:after="454"/>
              <w:jc w:val="start"/>
              <w:rPr/>
            </w:pPr>
            <w:r>
              <w:rPr/>
              <w:t>长任务、容量、监控、备份、</w:t>
            </w:r>
            <w:r>
              <w:rPr/>
              <w:t xml:space="preserve">RTO/RPO </w:t>
            </w:r>
            <w:r>
              <w:rPr/>
              <w:t>和回滚达到签字指标</w:t>
            </w:r>
          </w:p>
        </w:tc>
      </w:tr>
    </w:tbl>
    <w:p>
      <w:pPr>
        <w:pStyle w:val="BodyText"/>
        <w:bidi w:val="0"/>
        <w:rPr/>
      </w:pPr>
      <w:r>
        <w:rPr/>
        <w:t xml:space="preserve">最终数值门槛、样本量和统计口径在阶段 </w:t>
      </w:r>
      <w:r>
        <w:rPr/>
        <w:t xml:space="preserve">0 </w:t>
      </w:r>
      <w:r>
        <w:rPr/>
        <w:t xml:space="preserve">由建设单位、专家组和承建单位共同冻结，并作为 </w:t>
      </w:r>
      <w:r>
        <w:rPr/>
        <w:t xml:space="preserve">G1—G4 </w:t>
      </w:r>
      <w:r>
        <w:rPr/>
        <w:t>验收附件。</w:t>
      </w:r>
    </w:p>
    <w:p>
      <w:pPr>
        <w:pStyle w:val="Heading2"/>
        <w:bidi w:val="0"/>
        <w:jc w:val="start"/>
        <w:rPr/>
      </w:pPr>
      <w:r>
        <w:rPr/>
        <w:t>十四、客户配合与责任边界</w:t>
      </w:r>
    </w:p>
    <w:p>
      <w:pPr>
        <w:pStyle w:val="BodyText"/>
        <w:bidi w:val="0"/>
        <w:rPr/>
      </w:pPr>
      <w:r>
        <w:rPr/>
        <w:t xml:space="preserve">客户需提供或确认：四学段专家和仲裁负责人；课程标准、教材教参、中心资料和地方资源授权；标准 </w:t>
      </w:r>
      <w:r>
        <w:rPr/>
        <w:t xml:space="preserve">Word </w:t>
      </w:r>
      <w:r>
        <w:rPr/>
        <w:t>模板和代表性教案；平台身份、组织、资源和审计接口；试点学校和教师；</w:t>
      </w:r>
      <w:r>
        <w:rPr/>
        <w:t>GPU</w:t>
      </w:r>
      <w:r>
        <w:rPr/>
        <w:t>、存储、网络和备份条件；资源审核、投诉和事故责任人；小程序发布主体及平台能力；多模态采集、保留、删除和训练授权边界。</w:t>
      </w:r>
    </w:p>
    <w:p>
      <w:pPr>
        <w:pStyle w:val="BodyText"/>
        <w:bidi w:val="0"/>
        <w:rPr/>
      </w:pPr>
      <w:r>
        <w:rPr/>
        <w:t>用户注册、短信、认证升级和用户中心由思政课平台用户管理建设。鲁韵项目建设教学成果、任务能力、工作记忆、知识检索、模型调用、诊断、资源和质量治理。</w:t>
      </w:r>
    </w:p>
    <w:p>
      <w:pPr>
        <w:pStyle w:val="Heading2"/>
        <w:bidi w:val="0"/>
        <w:jc w:val="start"/>
        <w:rPr/>
      </w:pPr>
      <w:r>
        <w:rPr/>
        <w:t>十五、持续服务</w:t>
      </w:r>
    </w:p>
    <w:p>
      <w:pPr>
        <w:pStyle w:val="BodyText"/>
        <w:bidi w:val="0"/>
        <w:rPr/>
      </w:pPr>
      <w:r>
        <w:rPr/>
        <w:t>平台上线后，围绕“资料、规则、评测、反馈、运行”持续运营：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 xml:space="preserve">按政策、课程文件和教材变化更新资料并验证引用。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 xml:space="preserve">按专家仲裁和试点结果更新量规、模板和任务能力。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 xml:space="preserve">对模型、规则、知识和应用版本持续回归和独立抽检。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1163" w:leader="none"/>
        </w:tabs>
        <w:bidi w:val="0"/>
        <w:spacing w:before="454" w:after="0"/>
        <w:ind w:hanging="283" w:start="1163"/>
        <w:rPr/>
      </w:pPr>
      <w:r>
        <w:rPr/>
        <w:t xml:space="preserve">对资料不足、错误、投诉、安全事件和容量问题闭环处理。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1163" w:leader="none"/>
        </w:tabs>
        <w:bidi w:val="0"/>
        <w:ind w:hanging="283" w:start="1163"/>
        <w:rPr/>
      </w:pPr>
      <w:r>
        <w:rPr/>
        <w:t xml:space="preserve">定期开展教师、专家、内容运营和技术运维培训。 </w:t>
      </w:r>
    </w:p>
    <w:p>
      <w:pPr>
        <w:pStyle w:val="Heading2"/>
        <w:bidi w:val="0"/>
        <w:jc w:val="start"/>
        <w:rPr/>
      </w:pPr>
      <w:r>
        <w:rPr/>
        <w:t>十六、方案确认</w:t>
      </w:r>
    </w:p>
    <w:p>
      <w:pPr>
        <w:pStyle w:val="BodyText"/>
        <w:bidi w:val="0"/>
        <w:rPr/>
      </w:pPr>
      <w:r>
        <w:rPr/>
        <w:t xml:space="preserve">本方案确认后，以 </w:t>
      </w:r>
      <w:r>
        <w:rPr/>
        <w:t xml:space="preserve">v1.0 </w:t>
      </w:r>
      <w:r>
        <w:rPr/>
        <w:t xml:space="preserve">签字版开发计划启动阶段 </w:t>
      </w:r>
      <w:r>
        <w:rPr/>
        <w:t>0</w:t>
      </w:r>
      <w:r>
        <w:rPr/>
        <w:t xml:space="preserve">。阶段 </w:t>
      </w:r>
      <w:r>
        <w:rPr/>
        <w:t xml:space="preserve">0 </w:t>
      </w:r>
      <w:r>
        <w:rPr/>
        <w:t xml:space="preserve">完成专业、资料、合规、评测、硬件、接口和试点基线，并通过 </w:t>
      </w:r>
      <w:r>
        <w:rPr/>
        <w:t xml:space="preserve">G0 </w:t>
      </w:r>
      <w:r>
        <w:rPr/>
        <w:t>后进入全面开发。</w:t>
      </w:r>
    </w:p>
    <w:tbl>
      <w:tblPr>
        <w:tblW w:w="5000" w:type="pct"/>
        <w:jc w:val="start"/>
        <w:tblInd w:w="0" w:type="dxa"/>
        <w:tblLayout w:type="fixed"/>
        <w:tblCellMar>
          <w:top w:w="90" w:type="dxa"/>
          <w:start w:w="90" w:type="dxa"/>
          <w:bottom w:w="90" w:type="dxa"/>
          <w:end w:w="90" w:type="dxa"/>
        </w:tblCellMar>
      </w:tblPr>
      <w:tblGrid>
        <w:gridCol w:w="2262"/>
        <w:gridCol w:w="1516"/>
        <w:gridCol w:w="1414"/>
      </w:tblGrid>
      <w:tr>
        <w:trPr>
          <w:tblHeader w:val="true"/>
        </w:trPr>
        <w:tc>
          <w:tcPr>
            <w:tcW w:w="2262" w:type="dxa"/>
            <w:tcBorders/>
            <w:vAlign w:val="center"/>
          </w:tcPr>
          <w:p>
            <w:pPr>
              <w:pStyle w:val="TableHeading"/>
              <w:suppressLineNumbers/>
              <w:shd w:fill="8B1E2D" w:val="clear"/>
              <w:bidi w:val="0"/>
              <w:spacing w:before="80" w:after="80"/>
              <w:jc w:val="center"/>
              <w:rPr/>
            </w:pPr>
            <w:r>
              <w:rPr/>
              <w:t>签署方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Heading"/>
              <w:suppressLineNumbers/>
              <w:shd w:fill="8B1E2D" w:val="clear"/>
              <w:bidi w:val="0"/>
              <w:spacing w:before="80" w:after="80"/>
              <w:jc w:val="center"/>
              <w:rPr/>
            </w:pPr>
            <w:r>
              <w:rPr/>
              <w:t>姓名</w:t>
            </w:r>
            <w:r>
              <w:rPr/>
              <w:t>/</w:t>
            </w:r>
            <w:r>
              <w:rPr/>
              <w:t>签字</w:t>
            </w:r>
          </w:p>
        </w:tc>
        <w:tc>
          <w:tcPr>
            <w:tcW w:w="1414" w:type="dxa"/>
            <w:tcBorders/>
            <w:vAlign w:val="center"/>
          </w:tcPr>
          <w:p>
            <w:pPr>
              <w:pStyle w:val="TableHeading"/>
              <w:suppressLineNumbers/>
              <w:shd w:fill="8B1E2D" w:val="clear"/>
              <w:bidi w:val="0"/>
              <w:spacing w:before="80" w:after="80"/>
              <w:jc w:val="center"/>
              <w:rPr/>
            </w:pPr>
            <w:r>
              <w:rPr/>
              <w:t>日期</w:t>
            </w:r>
          </w:p>
        </w:tc>
      </w:tr>
      <w:tr>
        <w:trPr/>
        <w:tc>
          <w:tcPr>
            <w:tcW w:w="2262" w:type="dxa"/>
            <w:tcBorders/>
            <w:vAlign w:val="center"/>
          </w:tcPr>
          <w:p>
            <w:pPr>
              <w:pStyle w:val="TableContents"/>
              <w:bidi w:val="0"/>
              <w:spacing w:before="80" w:after="80"/>
              <w:jc w:val="start"/>
              <w:rPr/>
            </w:pPr>
            <w:r>
              <w:rPr/>
              <w:t>建设单位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spacing w:before="80" w:after="80"/>
              <w:jc w:val="start"/>
              <w:rPr/>
            </w:pPr>
            <w:r>
              <w:rPr/>
              <w:t>＿＿＿＿</w:t>
            </w:r>
          </w:p>
        </w:tc>
        <w:tc>
          <w:tcPr>
            <w:tcW w:w="1414" w:type="dxa"/>
            <w:tcBorders/>
            <w:vAlign w:val="center"/>
          </w:tcPr>
          <w:p>
            <w:pPr>
              <w:pStyle w:val="TableContents"/>
              <w:bidi w:val="0"/>
              <w:spacing w:before="80" w:after="80"/>
              <w:jc w:val="start"/>
              <w:rPr/>
            </w:pPr>
            <w:r>
              <w:rPr/>
              <w:t>20/</w:t>
            </w:r>
            <w:r>
              <w:rPr/>
              <w:t>　</w:t>
            </w:r>
            <w:r>
              <w:rPr/>
              <w:t>/</w:t>
            </w:r>
            <w:r>
              <w:rPr/>
              <w:t>　</w:t>
            </w:r>
          </w:p>
        </w:tc>
      </w:tr>
      <w:tr>
        <w:trPr/>
        <w:tc>
          <w:tcPr>
            <w:tcW w:w="2262" w:type="dxa"/>
            <w:tcBorders/>
            <w:vAlign w:val="center"/>
          </w:tcPr>
          <w:p>
            <w:pPr>
              <w:pStyle w:val="TableContents"/>
              <w:bidi w:val="0"/>
              <w:spacing w:before="80" w:after="80"/>
              <w:jc w:val="start"/>
              <w:rPr/>
            </w:pPr>
            <w:r>
              <w:rPr/>
              <w:t>使用</w:t>
            </w:r>
            <w:r>
              <w:rPr/>
              <w:t>/</w:t>
            </w:r>
            <w:r>
              <w:rPr/>
              <w:t>运营单位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spacing w:before="80" w:after="80"/>
              <w:jc w:val="start"/>
              <w:rPr/>
            </w:pPr>
            <w:r>
              <w:rPr/>
              <w:t>＿＿＿＿</w:t>
            </w:r>
          </w:p>
        </w:tc>
        <w:tc>
          <w:tcPr>
            <w:tcW w:w="1414" w:type="dxa"/>
            <w:tcBorders/>
            <w:vAlign w:val="center"/>
          </w:tcPr>
          <w:p>
            <w:pPr>
              <w:pStyle w:val="TableContents"/>
              <w:bidi w:val="0"/>
              <w:spacing w:before="80" w:after="80"/>
              <w:jc w:val="start"/>
              <w:rPr/>
            </w:pPr>
            <w:r>
              <w:rPr/>
              <w:t>20/</w:t>
            </w:r>
            <w:r>
              <w:rPr/>
              <w:t>　</w:t>
            </w:r>
            <w:r>
              <w:rPr/>
              <w:t>/</w:t>
            </w:r>
            <w:r>
              <w:rPr/>
              <w:t>　</w:t>
            </w:r>
          </w:p>
        </w:tc>
      </w:tr>
      <w:tr>
        <w:trPr/>
        <w:tc>
          <w:tcPr>
            <w:tcW w:w="2262" w:type="dxa"/>
            <w:tcBorders/>
            <w:vAlign w:val="center"/>
          </w:tcPr>
          <w:p>
            <w:pPr>
              <w:pStyle w:val="TableContents"/>
              <w:bidi w:val="0"/>
              <w:spacing w:before="80" w:after="80"/>
              <w:jc w:val="start"/>
              <w:rPr/>
            </w:pPr>
            <w:r>
              <w:rPr/>
              <w:t>承建单位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spacing w:before="80" w:after="80"/>
              <w:jc w:val="start"/>
              <w:rPr/>
            </w:pPr>
            <w:r>
              <w:rPr/>
              <w:t>＿＿＿＿</w:t>
            </w:r>
          </w:p>
        </w:tc>
        <w:tc>
          <w:tcPr>
            <w:tcW w:w="1414" w:type="dxa"/>
            <w:tcBorders/>
            <w:vAlign w:val="center"/>
          </w:tcPr>
          <w:p>
            <w:pPr>
              <w:pStyle w:val="TableContents"/>
              <w:bidi w:val="0"/>
              <w:spacing w:before="80" w:after="80"/>
              <w:jc w:val="start"/>
              <w:rPr/>
            </w:pPr>
            <w:r>
              <w:rPr/>
              <w:t>20/</w:t>
            </w:r>
            <w:r>
              <w:rPr/>
              <w:t>　</w:t>
            </w:r>
            <w:r>
              <w:rPr/>
              <w:t>/</w:t>
            </w:r>
            <w:r>
              <w:rPr/>
              <w:t>　</w:t>
            </w:r>
          </w:p>
        </w:tc>
      </w:tr>
      <w:tr>
        <w:trPr/>
        <w:tc>
          <w:tcPr>
            <w:tcW w:w="2262" w:type="dxa"/>
            <w:tcBorders/>
            <w:vAlign w:val="center"/>
          </w:tcPr>
          <w:p>
            <w:pPr>
              <w:pStyle w:val="TableContents"/>
              <w:bidi w:val="0"/>
              <w:spacing w:before="80" w:after="80"/>
              <w:jc w:val="start"/>
              <w:rPr/>
            </w:pPr>
            <w:r>
              <w:rPr/>
              <w:t>课程教学专家负责人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spacing w:before="80" w:after="80"/>
              <w:jc w:val="start"/>
              <w:rPr/>
            </w:pPr>
            <w:r>
              <w:rPr/>
              <w:t>＿＿＿＿</w:t>
            </w:r>
          </w:p>
        </w:tc>
        <w:tc>
          <w:tcPr>
            <w:tcW w:w="1414" w:type="dxa"/>
            <w:tcBorders/>
            <w:vAlign w:val="center"/>
          </w:tcPr>
          <w:p>
            <w:pPr>
              <w:pStyle w:val="TableContents"/>
              <w:bidi w:val="0"/>
              <w:spacing w:before="80" w:after="80"/>
              <w:jc w:val="start"/>
              <w:rPr/>
            </w:pPr>
            <w:r>
              <w:rPr/>
              <w:t>20/</w:t>
            </w:r>
            <w:r>
              <w:rPr/>
              <w:t>　</w:t>
            </w:r>
            <w:r>
              <w:rPr/>
              <w:t>/</w:t>
            </w:r>
            <w:r>
              <w:rPr/>
              <w:t>　</w:t>
            </w:r>
          </w:p>
        </w:tc>
      </w:tr>
      <w:tr>
        <w:trPr/>
        <w:tc>
          <w:tcPr>
            <w:tcW w:w="2262" w:type="dxa"/>
            <w:tcBorders/>
            <w:vAlign w:val="center"/>
          </w:tcPr>
          <w:p>
            <w:pPr>
              <w:pStyle w:val="TableContents"/>
              <w:bidi w:val="0"/>
              <w:spacing w:before="80" w:after="80"/>
              <w:jc w:val="start"/>
              <w:rPr/>
            </w:pPr>
            <w:r>
              <w:rPr/>
              <w:t>信息化</w:t>
            </w:r>
            <w:r>
              <w:rPr/>
              <w:t>/</w:t>
            </w:r>
            <w:r>
              <w:rPr/>
              <w:t>安全责任人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spacing w:before="80" w:after="80"/>
              <w:jc w:val="start"/>
              <w:rPr/>
            </w:pPr>
            <w:r>
              <w:rPr/>
              <w:t>＿＿＿＿</w:t>
            </w:r>
          </w:p>
        </w:tc>
        <w:tc>
          <w:tcPr>
            <w:tcW w:w="1414" w:type="dxa"/>
            <w:tcBorders/>
            <w:vAlign w:val="center"/>
          </w:tcPr>
          <w:p>
            <w:pPr>
              <w:pStyle w:val="TableContents"/>
              <w:bidi w:val="0"/>
              <w:spacing w:before="80" w:after="80"/>
              <w:jc w:val="start"/>
              <w:rPr/>
            </w:pPr>
            <w:r>
              <w:rPr/>
              <w:t>20/</w:t>
            </w:r>
            <w:r>
              <w:rPr/>
              <w:t>　</w:t>
            </w:r>
            <w:r>
              <w:rPr/>
              <w:t>/</w:t>
            </w:r>
            <w:r>
              <w:rPr/>
              <w:t>　</w:t>
            </w:r>
          </w:p>
        </w:tc>
      </w:tr>
    </w:tbl>
    <w:p>
      <w:pPr>
        <w:pStyle w:val="BodyText"/>
        <w:bidi w:val="0"/>
        <w:spacing w:before="80" w:after="80"/>
        <w:rPr/>
      </w:pPr>
      <w:r>
        <w:rPr/>
      </w:r>
    </w:p>
    <w:sectPr>
      <w:pgSz w:w="11906" w:h="16838"/>
      <w:pgMar w:left="1191" w:right="1191" w:gutter="0" w:header="0" w:top="1247" w:footer="0" w:bottom="124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SC">
    <w:altName w:val="Microsoft YaHei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96"/>
    </w:pPr>
    <w:rPr>
      <w:rFonts w:ascii="Noto Sans CJK SC;Microsoft YaHei;sans-serif" w:hAnsi="Noto Sans CJK SC;Microsoft YaHei;sans-serif" w:eastAsia="Noto Sans CJK SC;Microsoft YaHei;sans-serif" w:cs="Noto Sans CJK SC;Microsoft YaHei;sans-serif"/>
      <w:color w:val="222222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551" w:after="567"/>
      <w:jc w:val="center"/>
    </w:pPr>
    <w:rPr>
      <w:rFonts w:ascii="Noto Sans" w:hAnsi="Noto Sans"/>
      <w:b/>
      <w:bCs/>
      <w:color w:val="8B1E2D"/>
      <w:sz w:val="52"/>
      <w:szCs w:val="52"/>
    </w:rPr>
  </w:style>
  <w:style w:type="paragraph" w:styleId="Heading2">
    <w:name w:val="Heading 2"/>
    <w:basedOn w:val="Heading"/>
    <w:next w:val="BodyText"/>
    <w:qFormat/>
    <w:pPr>
      <w:pageBreakBefore/>
      <w:pBdr>
        <w:bottom w:val="single" w:sz="12" w:space="5" w:color="C9A35D"/>
      </w:pBdr>
      <w:spacing w:before="200" w:after="120"/>
      <w:outlineLvl w:val="1"/>
    </w:pPr>
    <w:rPr>
      <w:rFonts w:ascii="Liberation Serif" w:hAnsi="Liberation Serif" w:eastAsia="Noto Serif CJK SC" w:cs="Noto Sans Devanagari"/>
      <w:b/>
      <w:bCs/>
      <w:color w:val="8B1E2D"/>
      <w:sz w:val="38"/>
      <w:szCs w:val="3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color w:val="6B2432"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  <w:color w:val="5A172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start"/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454" w:after="454"/>
      <w:ind w:start="454" w:end="454"/>
      <w:jc w:val="both"/>
    </w:pPr>
    <w:rPr>
      <w:color w:val="5A1722"/>
      <w:sz w:val="30"/>
      <w:szCs w:val="30"/>
    </w:rPr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lockQuotation">
    <w:name w:val="Block Quotation"/>
    <w:basedOn w:val="Normal"/>
    <w:qFormat/>
    <w:pPr>
      <w:pBdr>
        <w:left w:val="single" w:sz="24" w:space="1" w:color="C9A35D"/>
      </w:pBdr>
      <w:shd w:fill="F7F2E8" w:val="clear"/>
      <w:spacing w:before="0" w:after="283"/>
      <w:ind w:hanging="0" w:start="567" w:end="567"/>
    </w:pPr>
    <w:rPr/>
  </w:style>
  <w:style w:type="paragraph" w:styleId="TableHeading">
    <w:name w:val="Table Heading"/>
    <w:basedOn w:val="TableContents"/>
    <w:qFormat/>
    <w:pPr>
      <w:suppressLineNumbers/>
      <w:shd w:fill="8B1E2D" w:val="clear"/>
      <w:jc w:val="center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鲁韵思政大模型建设方案 v1.0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