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noinvest-data-categories-sources"/>
    <w:p>
      <w:pPr>
        <w:pStyle w:val="Heading1"/>
      </w:pPr>
      <w:r>
        <w:t xml:space="preserve">InnoINVest — Data Categories &amp; Sources</w:t>
      </w:r>
    </w:p>
    <w:p>
      <w:pPr>
        <w:pStyle w:val="FirstParagraph"/>
      </w:pPr>
      <w:r>
        <w:t xml:space="preserve">Reverse-engineered from the</w:t>
      </w:r>
      <w:r>
        <w:t xml:space="preserve"> </w:t>
      </w:r>
      <w:r>
        <w:rPr>
          <w:b/>
          <w:bCs/>
        </w:rPr>
        <w:t xml:space="preserve">Florești / FinDreams 2025</w:t>
      </w:r>
      <w:r>
        <w:t xml:space="preserve"> </w:t>
      </w:r>
      <w:r>
        <w:t xml:space="preserve">investor brief</w:t>
      </w:r>
      <w:r>
        <w:t xml:space="preserve"> </w:t>
      </w:r>
      <w:r>
        <w:t xml:space="preserve">(</w:t>
      </w:r>
      <w:r>
        <w:rPr>
          <w:rStyle w:val="VerbatimChar"/>
        </w:rPr>
        <w:t xml:space="preserve">Copy of INNO, Florești, 01 AUGUST (1).pdf</w:t>
      </w:r>
      <w:r>
        <w:t xml:space="preserve">, 29 pages).</w:t>
      </w:r>
    </w:p>
    <w:p>
      <w:pPr>
        <w:pStyle w:val="BodyText"/>
      </w:pPr>
      <w:r>
        <w:t xml:space="preserve">Each section lists: (1) the data points investors actually want, and (2) the open / authoritative sources where they can be pulled — international first, then Romania-specific.</w:t>
      </w:r>
    </w:p>
    <w:p>
      <w:r>
        <w:pict>
          <v:rect style="width:0;height:1.5pt" o:hralign="center" o:hrstd="t" o:hr="t"/>
        </w:pict>
      </w:r>
    </w:p>
    <w:bookmarkStart w:id="9" w:name="strategic-location-logistics"/>
    <w:p>
      <w:pPr>
        <w:pStyle w:val="Heading2"/>
      </w:pPr>
      <w:r>
        <w:t xml:space="preserve">1. Strategic Location &amp; Logistics</w:t>
      </w:r>
    </w:p>
    <w:p>
      <w:pPr>
        <w:pStyle w:val="FirstParagraph"/>
      </w:pPr>
      <w:r>
        <w:rPr>
          <w:i/>
          <w:iCs/>
        </w:rPr>
        <w:t xml:space="preserve">Pages 2, 6, 8 —</w:t>
      </w:r>
      <w:r>
        <w:rPr>
          <w:i/>
          <w:iCs/>
        </w:rPr>
        <w:t xml:space="preserve"> </w:t>
      </w:r>
      <w:r>
        <w:rPr>
          <w:i/>
          <w:iCs/>
        </w:rPr>
        <w:t xml:space="preserve">“Overnight delivery to”</w:t>
      </w:r>
      <w:r>
        <w:rPr>
          <w:i/>
          <w:iCs/>
        </w:rPr>
        <w:t xml:space="preserve">, distances to ports/customs/airports/highways.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distances to major cities &amp; EU capitals, drive-time isochrones, distance to highways / airports / sea ports / border customs, road class, rail connectivity.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OpenStreetMap (OSM) + Overpass API — road network, rail, POIs</w:t>
      </w:r>
      <w:r>
        <w:t xml:space="preserve"> </w:t>
      </w:r>
      <w:r>
        <w:t xml:space="preserve">- OpenRouteService / GraphHopper / Mapbox / Google Maps Distance Matrix API — drive-time matrices, isochrones</w:t>
      </w:r>
      <w:r>
        <w:t xml:space="preserve"> </w:t>
      </w:r>
      <w:r>
        <w:t xml:space="preserve">- Eurostat Transport (</w:t>
      </w:r>
      <w:r>
        <w:rPr>
          <w:rStyle w:val="VerbatimChar"/>
        </w:rPr>
        <w:t xml:space="preserve">tran_*</w:t>
      </w:r>
      <w:r>
        <w:t xml:space="preserve">) — TEN-T corridors, port/airport throughput</w:t>
      </w:r>
      <w:r>
        <w:t xml:space="preserve"> </w:t>
      </w:r>
      <w:r>
        <w:t xml:space="preserve">- CNAIR (cnair.ro) — Romanian national roads &amp; highways inventory</w:t>
      </w:r>
      <w:r>
        <w:t xml:space="preserve"> </w:t>
      </w:r>
      <w:r>
        <w:t xml:space="preserve">- CFR (cfr.ro / cfrcalatori.ro) — rail network, stations, schedules</w:t>
      </w:r>
      <w:r>
        <w:t xml:space="preserve"> </w:t>
      </w:r>
      <w:r>
        <w:t xml:space="preserve">- Aviația Civilă Română (caa.ro) — airports &amp; runways</w:t>
      </w:r>
      <w:r>
        <w:t xml:space="preserve"> </w:t>
      </w:r>
      <w:r>
        <w:t xml:space="preserve">- ENTSO-E + Copernicus (for road conditions / EO)</w:t>
      </w:r>
    </w:p>
    <w:p>
      <w:r>
        <w:pict>
          <v:rect style="width:0;height:1.5pt" o:hralign="center" o:hrstd="t" o:hr="t"/>
        </w:pict>
      </w:r>
    </w:p>
    <w:bookmarkEnd w:id="9"/>
    <w:bookmarkStart w:id="10" w:name="macro-economic-indicators"/>
    <w:p>
      <w:pPr>
        <w:pStyle w:val="Heading2"/>
      </w:pPr>
      <w:r>
        <w:t xml:space="preserve">2. Macro-Economic Indicators</w:t>
      </w:r>
    </w:p>
    <w:p>
      <w:pPr>
        <w:pStyle w:val="FirstParagraph"/>
      </w:pPr>
      <w:r>
        <w:rPr>
          <w:i/>
          <w:iCs/>
        </w:rPr>
        <w:t xml:space="preserve">Pages 2, 4, 18 — GDP/capita, EU absorption, FOB exports, gross monthly income, active businesses, tourists, fastest-growing county ranking.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regional GDP &amp; GDP/capita (NUTS3), GVA by sector, exports/imports (FOB/CIF), EU funds absorption, inflation, registered businesses, business density, tourism arrivals/overnights.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Eurostat —</w:t>
      </w:r>
      <w:r>
        <w:t xml:space="preserve"> </w:t>
      </w:r>
      <w:r>
        <w:rPr>
          <w:rStyle w:val="VerbatimChar"/>
        </w:rPr>
        <w:t xml:space="preserve">nama_10r_3gdp</w:t>
      </w:r>
      <w:r>
        <w:t xml:space="preserve"> </w:t>
      </w:r>
      <w:r>
        <w:t xml:space="preserve">(regional GDP NUTS3),</w:t>
      </w:r>
      <w:r>
        <w:t xml:space="preserve"> </w:t>
      </w:r>
      <w:r>
        <w:rPr>
          <w:rStyle w:val="VerbatimChar"/>
        </w:rPr>
        <w:t xml:space="preserve">tour_occ_*</w:t>
      </w:r>
      <w:r>
        <w:t xml:space="preserve">,</w:t>
      </w:r>
      <w:r>
        <w:t xml:space="preserve"> </w:t>
      </w:r>
      <w:r>
        <w:rPr>
          <w:rStyle w:val="VerbatimChar"/>
        </w:rPr>
        <w:t xml:space="preserve">htec_*</w:t>
      </w:r>
      <w:r>
        <w:t xml:space="preserve"> </w:t>
      </w:r>
      <w:r>
        <w:t xml:space="preserve">- World Bank Open Data (</w:t>
      </w:r>
      <w:r>
        <w:rPr>
          <w:rStyle w:val="VerbatimChar"/>
        </w:rPr>
        <w:t xml:space="preserve">api.worldbank.org</w:t>
      </w:r>
      <w:r>
        <w:t xml:space="preserve">)</w:t>
      </w:r>
      <w:r>
        <w:t xml:space="preserve"> </w:t>
      </w:r>
      <w:r>
        <w:t xml:space="preserve">- OECD Regional Database / OECD.Stat</w:t>
      </w:r>
      <w:r>
        <w:t xml:space="preserve"> </w:t>
      </w:r>
      <w:r>
        <w:t xml:space="preserve">- INS / Tempo Online (insse.ro) — Romanian regional statistics</w:t>
      </w:r>
      <w:r>
        <w:t xml:space="preserve"> </w:t>
      </w:r>
      <w:r>
        <w:t xml:space="preserve">- BNR (bnro.ro) — exports, FDI, balance of payments</w:t>
      </w:r>
      <w:r>
        <w:t xml:space="preserve"> </w:t>
      </w:r>
      <w:r>
        <w:t xml:space="preserve">- ONRC (onrc.ro) — Trade Registry, business creation</w:t>
      </w:r>
      <w:r>
        <w:t xml:space="preserve"> </w:t>
      </w:r>
      <w:r>
        <w:t xml:space="preserve">- listafirme.ro / termene.ro — company registry mirrors (more usable API)</w:t>
      </w:r>
      <w:r>
        <w:t xml:space="preserve"> </w:t>
      </w:r>
      <w:r>
        <w:t xml:space="preserve">- MFP — EU funds absorption (mfe.gov.ro)</w:t>
      </w:r>
    </w:p>
    <w:p>
      <w:r>
        <w:pict>
          <v:rect style="width:0;height:1.5pt" o:hralign="center" o:hrstd="t" o:hr="t"/>
        </w:pict>
      </w:r>
    </w:p>
    <w:bookmarkEnd w:id="10"/>
    <w:bookmarkStart w:id="11" w:name="quality-of-life-safety-liveability"/>
    <w:p>
      <w:pPr>
        <w:pStyle w:val="Heading2"/>
      </w:pPr>
      <w:r>
        <w:t xml:space="preserve">3. Quality of Life, Safety &amp; Liveability</w:t>
      </w:r>
    </w:p>
    <w:p>
      <w:pPr>
        <w:pStyle w:val="FirstParagraph"/>
      </w:pPr>
      <w:r>
        <w:rPr>
          <w:i/>
          <w:iCs/>
        </w:rPr>
        <w:t xml:space="preserve">Page 3 — Numbeo safety index, EC Quality of Life in European Cities,</w:t>
      </w:r>
      <w:r>
        <w:rPr>
          <w:i/>
          <w:iCs/>
        </w:rPr>
        <w:t xml:space="preserve"> </w:t>
      </w:r>
      <w:r>
        <w:rPr>
          <w:i/>
          <w:iCs/>
        </w:rPr>
        <w:t xml:space="preserve">“10th most liveable”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crime/safety index, liveability ranking, resident satisfaction, air &amp; noise pollution, healthcare quality perception.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Numbeo (numbeo.com) — crime, cost of living, quality of life indices</w:t>
      </w:r>
      <w:r>
        <w:t xml:space="preserve"> </w:t>
      </w:r>
      <w:r>
        <w:t xml:space="preserve">- European Commission —</w:t>
      </w:r>
      <w:r>
        <w:t xml:space="preserve"> </w:t>
      </w:r>
      <w:r>
        <w:rPr>
          <w:i/>
          <w:iCs/>
        </w:rPr>
        <w:t xml:space="preserve">Quality of Life in European Cities</w:t>
      </w:r>
      <w:r>
        <w:t xml:space="preserve"> </w:t>
      </w:r>
      <w:r>
        <w:t xml:space="preserve">survey (DG REGIO)</w:t>
      </w:r>
      <w:r>
        <w:t xml:space="preserve"> </w:t>
      </w:r>
      <w:r>
        <w:t xml:space="preserve">- Eurostat Urban Audit (</w:t>
      </w:r>
      <w:r>
        <w:rPr>
          <w:rStyle w:val="VerbatimChar"/>
        </w:rPr>
        <w:t xml:space="preserve">urb_*</w:t>
      </w:r>
      <w:r>
        <w:t xml:space="preserve">)</w:t>
      </w:r>
      <w:r>
        <w:t xml:space="preserve"> </w:t>
      </w:r>
      <w:r>
        <w:t xml:space="preserve">- Mercer Quality of Living rankings</w:t>
      </w:r>
      <w:r>
        <w:t xml:space="preserve"> </w:t>
      </w:r>
      <w:r>
        <w:t xml:space="preserve">- IQAir / OpenAQ — air quality</w:t>
      </w:r>
      <w:r>
        <w:t xml:space="preserve"> </w:t>
      </w:r>
      <w:r>
        <w:t xml:space="preserve">- Copernicus Atmosphere Monitoring Service (CAMS)</w:t>
      </w:r>
    </w:p>
    <w:p>
      <w:r>
        <w:pict>
          <v:rect style="width:0;height:1.5pt" o:hralign="center" o:hrstd="t" o:hr="t"/>
        </w:pict>
      </w:r>
    </w:p>
    <w:bookmarkEnd w:id="11"/>
    <w:bookmarkStart w:id="12" w:name="demographics"/>
    <w:p>
      <w:pPr>
        <w:pStyle w:val="Heading2"/>
      </w:pPr>
      <w:r>
        <w:t xml:space="preserve">4. Demographics</w:t>
      </w:r>
    </w:p>
    <w:p>
      <w:pPr>
        <w:pStyle w:val="FirstParagraph"/>
      </w:pPr>
      <w:r>
        <w:rPr>
          <w:i/>
          <w:iCs/>
        </w:rPr>
        <w:t xml:space="preserve">Pages 4, 19, 20 — population, age distribution by year, catchment within 50 km.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total population &amp; trend, age pyramid, working-age (15–64), education attainment, migration flows, catchment population by drive-time radius.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INS Tempo Online (statistici.insse.ro) — Romanian census + yearly updates</w:t>
      </w:r>
      <w:r>
        <w:t xml:space="preserve"> </w:t>
      </w:r>
      <w:r>
        <w:t xml:space="preserve">- Eurostat</w:t>
      </w:r>
      <w:r>
        <w:t xml:space="preserve"> </w:t>
      </w:r>
      <w:r>
        <w:rPr>
          <w:rStyle w:val="VerbatimChar"/>
        </w:rPr>
        <w:t xml:space="preserve">demo_*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cens_*</w:t>
      </w:r>
      <w:r>
        <w:t xml:space="preserve"> </w:t>
      </w:r>
      <w:r>
        <w:t xml:space="preserve">— NUTS3 demographics, census</w:t>
      </w:r>
      <w:r>
        <w:t xml:space="preserve"> </w:t>
      </w:r>
      <w:r>
        <w:t xml:space="preserve">- World Bank Population &amp; Development</w:t>
      </w:r>
      <w:r>
        <w:t xml:space="preserve"> </w:t>
      </w:r>
      <w:r>
        <w:t xml:space="preserve">- GHS-POP (JRC Global Human Settlement Layer) — gridded population, perfect for drive-time catchments</w:t>
      </w:r>
      <w:r>
        <w:t xml:space="preserve"> </w:t>
      </w:r>
      <w:r>
        <w:t xml:space="preserve">- WorldPop (worldpop.org)</w:t>
      </w:r>
      <w:r>
        <w:t xml:space="preserve"> </w:t>
      </w:r>
      <w:r>
        <w:t xml:space="preserve">- Local primării (e.g., primariafloresti.ro) — registered population</w:t>
      </w:r>
    </w:p>
    <w:p>
      <w:r>
        <w:pict>
          <v:rect style="width:0;height:1.5pt" o:hralign="center" o:hrstd="t" o:hr="t"/>
        </w:pict>
      </w:r>
    </w:p>
    <w:bookmarkEnd w:id="12"/>
    <w:bookmarkStart w:id="13" w:name="land-real-estate-construction"/>
    <w:p>
      <w:pPr>
        <w:pStyle w:val="Heading2"/>
      </w:pPr>
      <w:r>
        <w:t xml:space="preserve">5. Land, Real Estate &amp; Construction</w:t>
      </w:r>
    </w:p>
    <w:p>
      <w:pPr>
        <w:pStyle w:val="FirstParagraph"/>
      </w:pPr>
      <w:r>
        <w:rPr>
          <w:i/>
          <w:iCs/>
        </w:rPr>
        <w:t xml:space="preserve">Page 6 — 200 HA, ownership mix, lease €/m²/year, build cost €400–1000/m², reno €350–550/m².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parcel size &amp; boundaries, public vs. private ownership, zoning (PUG), concession/lease prices, land/construction/renovation cost benchmarks, available industrial/logistics inventory.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ANCPI / eTerra (ancpi.ro) — national cadastre &amp; land registry</w:t>
      </w:r>
      <w:r>
        <w:t xml:space="preserve"> </w:t>
      </w:r>
      <w:r>
        <w:t xml:space="preserve">- INSPIRE Geoportal (inspire-geoportal.ec.europa.eu) — EU cadastral &amp; spatial</w:t>
      </w:r>
      <w:r>
        <w:t xml:space="preserve"> </w:t>
      </w:r>
      <w:r>
        <w:t xml:space="preserve">- Local PUG/PUZ from primării — urban zoning plans</w:t>
      </w:r>
      <w:r>
        <w:t xml:space="preserve"> </w:t>
      </w:r>
      <w:r>
        <w:t xml:space="preserve">- Imobiliare.ro, Storia.ro, OLX, Anunturi-Imobiliare — listings price scrape</w:t>
      </w:r>
      <w:r>
        <w:t xml:space="preserve"> </w:t>
      </w:r>
      <w:r>
        <w:t xml:space="preserve">- CBRE / Colliers / Cushman &amp; Wakefield — annual industrial market reports</w:t>
      </w:r>
      <w:r>
        <w:t xml:space="preserve"> </w:t>
      </w:r>
      <w:r>
        <w:t xml:space="preserve">- INS construction cost indices (IC ind.)</w:t>
      </w:r>
      <w:r>
        <w:t xml:space="preserve"> </w:t>
      </w:r>
      <w:r>
        <w:t xml:space="preserve">- Geoportal ANCPI (geoportal.ancpi.ro) — WMS layers</w:t>
      </w:r>
    </w:p>
    <w:p>
      <w:r>
        <w:pict>
          <v:rect style="width:0;height:1.5pt" o:hralign="center" o:hrstd="t" o:hr="t"/>
        </w:pict>
      </w:r>
    </w:p>
    <w:bookmarkEnd w:id="13"/>
    <w:bookmarkStart w:id="14" w:name="X1e208f32b956e2e8522785b7d0d5135708c14a7"/>
    <w:p>
      <w:pPr>
        <w:pStyle w:val="Heading2"/>
      </w:pPr>
      <w:r>
        <w:t xml:space="preserve">6. Transportation Infrastructure (Existing &amp; Planned)</w:t>
      </w:r>
    </w:p>
    <w:p>
      <w:pPr>
        <w:pStyle w:val="FirstParagraph"/>
      </w:pPr>
      <w:r>
        <w:rPr>
          <w:i/>
          <w:iCs/>
        </w:rPr>
        <w:t xml:space="preserve">Pages 8, 9 — A3 highway, airports, customs, planned beltway TR35 (€1.2 B), photovoltaic park, retail parks.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highway/road network, rail, airports, ports, public transit, planned megaprojects with budgets &amp; timelines.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CNAIR (cnair.ro) — national road projects pipeline</w:t>
      </w:r>
      <w:r>
        <w:t xml:space="preserve"> </w:t>
      </w:r>
      <w:r>
        <w:t xml:space="preserve">- Ministerul Transporturilor (mt.ro)</w:t>
      </w:r>
      <w:r>
        <w:t xml:space="preserve"> </w:t>
      </w:r>
      <w:r>
        <w:t xml:space="preserve">- CFR Infrastructură (cfr.ro)</w:t>
      </w:r>
      <w:r>
        <w:t xml:space="preserve"> </w:t>
      </w:r>
      <w:r>
        <w:t xml:space="preserve">- ADR Nord-Vest (nord-vest.ro) — regional development programs</w:t>
      </w:r>
      <w:r>
        <w:t xml:space="preserve"> </w:t>
      </w:r>
      <w:r>
        <w:t xml:space="preserve">- EU CEF / TEN-T project database (ec.europa.eu/inea)</w:t>
      </w:r>
      <w:r>
        <w:t xml:space="preserve"> </w:t>
      </w:r>
      <w:r>
        <w:t xml:space="preserve">- SEAP / e-licitatie.ro — public procurement → infrastructure tenders</w:t>
      </w:r>
      <w:r>
        <w:t xml:space="preserve"> </w:t>
      </w:r>
      <w:r>
        <w:t xml:space="preserve">- OpenStreetMap (planned/proposed tags)</w:t>
      </w:r>
    </w:p>
    <w:p>
      <w:r>
        <w:pict>
          <v:rect style="width:0;height:1.5pt" o:hralign="center" o:hrstd="t" o:hr="t"/>
        </w:pict>
      </w:r>
    </w:p>
    <w:bookmarkEnd w:id="14"/>
    <w:bookmarkStart w:id="15" w:name="utilities-electricity-gas-water-sewage"/>
    <w:p>
      <w:pPr>
        <w:pStyle w:val="Heading2"/>
      </w:pPr>
      <w:r>
        <w:t xml:space="preserve">7. Utilities (Electricity, Gas, Water, Sewage)</w:t>
      </w:r>
    </w:p>
    <w:p>
      <w:pPr>
        <w:pStyle w:val="FirstParagraph"/>
      </w:pPr>
      <w:r>
        <w:rPr>
          <w:i/>
          <w:iCs/>
        </w:rPr>
        <w:t xml:space="preserve">Pages 10–14 — substations &amp; distances, €/kWh, €/Nm³ gas, water river capacity, sewage capacity.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grid capacity, distance to nearest substation, voltage levels, industrial electricity &amp; gas tariffs, water/sewer access points &amp; capacity, renewable energy share, CO₂ intensity.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ANRE (anre.ro) — energy tariffs, grid operators</w:t>
      </w:r>
      <w:r>
        <w:t xml:space="preserve"> </w:t>
      </w:r>
      <w:r>
        <w:t xml:space="preserve">- Transelectrica (transelectrica.ro) — high-voltage grid map &amp; substations</w:t>
      </w:r>
      <w:r>
        <w:t xml:space="preserve"> </w:t>
      </w:r>
      <w:r>
        <w:t xml:space="preserve">- Distribuție Energie Electrică Romania (DEER) — regional MV/LV grid</w:t>
      </w:r>
      <w:r>
        <w:t xml:space="preserve"> </w:t>
      </w:r>
      <w:r>
        <w:t xml:space="preserve">- Delgaz Grid / Distrigaz Sud — gas network</w:t>
      </w:r>
      <w:r>
        <w:t xml:space="preserve"> </w:t>
      </w:r>
      <w:r>
        <w:t xml:space="preserve">- Apele Române (rowater.ro) — water resources, river capacity</w:t>
      </w:r>
      <w:r>
        <w:t xml:space="preserve"> </w:t>
      </w:r>
      <w:r>
        <w:t xml:space="preserve">- ANAR (anar.ro) — water management plans</w:t>
      </w:r>
      <w:r>
        <w:t xml:space="preserve"> </w:t>
      </w:r>
      <w:r>
        <w:t xml:space="preserve">- ENTSO-E Transparency Platform — EU electricity prices &amp; flows</w:t>
      </w:r>
      <w:r>
        <w:t xml:space="preserve"> </w:t>
      </w:r>
      <w:r>
        <w:t xml:space="preserve">- Eurostat Energy (</w:t>
      </w:r>
      <w:r>
        <w:rPr>
          <w:rStyle w:val="VerbatimChar"/>
        </w:rPr>
        <w:t xml:space="preserve">nrg_*</w:t>
      </w:r>
      <w:r>
        <w:t xml:space="preserve">)</w:t>
      </w:r>
      <w:r>
        <w:t xml:space="preserve"> </w:t>
      </w:r>
      <w:r>
        <w:t xml:space="preserve">- Copernicus CAMS — CO₂ / pollutant footprint</w:t>
      </w:r>
      <w:r>
        <w:t xml:space="preserve"> </w:t>
      </w:r>
      <w:r>
        <w:t xml:space="preserve">- OpenInfraMap (openinframap.org) — crowdsourced grid map</w:t>
      </w:r>
    </w:p>
    <w:p>
      <w:r>
        <w:pict>
          <v:rect style="width:0;height:1.5pt" o:hralign="center" o:hrstd="t" o:hr="t"/>
        </w:pict>
      </w:r>
    </w:p>
    <w:bookmarkEnd w:id="15"/>
    <w:bookmarkStart w:id="16" w:name="health-infrastructure"/>
    <w:p>
      <w:pPr>
        <w:pStyle w:val="Heading2"/>
      </w:pPr>
      <w:r>
        <w:t xml:space="preserve">8. Health Infrastructure</w:t>
      </w:r>
    </w:p>
    <w:p>
      <w:pPr>
        <w:pStyle w:val="FirstParagraph"/>
      </w:pPr>
      <w:r>
        <w:rPr>
          <w:i/>
          <w:iCs/>
        </w:rPr>
        <w:t xml:space="preserve">Page 15 — €762 M Cluj Regional Emergency Hospital, completion 2028.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hospital beds per capita, planned health projects, doctors per 1k, medical specializations.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Ministerul Sănătății (ms.ro)</w:t>
      </w:r>
      <w:r>
        <w:t xml:space="preserve"> </w:t>
      </w:r>
      <w:r>
        <w:t xml:space="preserve">- CNAS (cnas.ro) — health insurance + hospital network</w:t>
      </w:r>
      <w:r>
        <w:t xml:space="preserve"> </w:t>
      </w:r>
      <w:r>
        <w:t xml:space="preserve">- INS health statistics</w:t>
      </w:r>
      <w:r>
        <w:t xml:space="preserve"> </w:t>
      </w:r>
      <w:r>
        <w:t xml:space="preserve">- Eurostat Health (</w:t>
      </w:r>
      <w:r>
        <w:rPr>
          <w:rStyle w:val="VerbatimChar"/>
        </w:rPr>
        <w:t xml:space="preserve">hlth_*</w:t>
      </w:r>
      <w:r>
        <w:t xml:space="preserve">)</w:t>
      </w:r>
      <w:r>
        <w:t xml:space="preserve"> </w:t>
      </w:r>
      <w:r>
        <w:t xml:space="preserve">- WHO Europe Health for All database</w:t>
      </w:r>
      <w:r>
        <w:t xml:space="preserve"> </w:t>
      </w:r>
      <w:r>
        <w:t xml:space="preserve">- DSP județene — county-level public health directorates</w:t>
      </w:r>
    </w:p>
    <w:p>
      <w:r>
        <w:pict>
          <v:rect style="width:0;height:1.5pt" o:hralign="center" o:hrstd="t" o:hr="t"/>
        </w:pict>
      </w:r>
    </w:p>
    <w:bookmarkEnd w:id="16"/>
    <w:bookmarkStart w:id="17" w:name="labor-market-human-resources"/>
    <w:p>
      <w:pPr>
        <w:pStyle w:val="Heading2"/>
      </w:pPr>
      <w:r>
        <w:t xml:space="preserve">9. Labor Market &amp; Human Resources</w:t>
      </w:r>
    </w:p>
    <w:p>
      <w:pPr>
        <w:pStyle w:val="FirstParagraph"/>
      </w:pPr>
      <w:r>
        <w:rPr>
          <w:i/>
          <w:iCs/>
        </w:rPr>
        <w:t xml:space="preserve">Pages 17–21 — employment rate, unemployment, gross/net salary by role, sectoral breakdown, catchment workforce, full cost breakdown by role.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working-age population, employment &amp; unemployment rate, salary by occupation/sector/experience, sectoral employment shares, labor cost composition (gross → contributions → net), minimum wage, dual-education pipeline.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INS Tempo Online — employment, wages, sector</w:t>
      </w:r>
      <w:r>
        <w:t xml:space="preserve"> </w:t>
      </w:r>
      <w:r>
        <w:t xml:space="preserve">- ANOFM (anofm.ro) — unemployment, vacancies</w:t>
      </w:r>
      <w:r>
        <w:t xml:space="preserve"> </w:t>
      </w:r>
      <w:r>
        <w:t xml:space="preserve">- Eurostat LFS (</w:t>
      </w:r>
      <w:r>
        <w:rPr>
          <w:rStyle w:val="VerbatimChar"/>
        </w:rPr>
        <w:t xml:space="preserve">lfs_*</w:t>
      </w:r>
      <w:r>
        <w:t xml:space="preserve">), Earnings (</w:t>
      </w:r>
      <w:r>
        <w:rPr>
          <w:rStyle w:val="VerbatimChar"/>
        </w:rPr>
        <w:t xml:space="preserve">earn_*</w:t>
      </w:r>
      <w:r>
        <w:t xml:space="preserve">)</w:t>
      </w:r>
      <w:r>
        <w:t xml:space="preserve"> </w:t>
      </w:r>
      <w:r>
        <w:t xml:space="preserve">- ILOSTAT (ilostat.ilo.org)</w:t>
      </w:r>
      <w:r>
        <w:t xml:space="preserve"> </w:t>
      </w:r>
      <w:r>
        <w:t xml:space="preserve">- Ministerul Muncii (mmuncii.ro)</w:t>
      </w:r>
      <w:r>
        <w:t xml:space="preserve"> </w:t>
      </w:r>
      <w:r>
        <w:t xml:space="preserve">- ANAF (anaf.ro) — official tax rates &amp; contribution schedules</w:t>
      </w:r>
      <w:r>
        <w:t xml:space="preserve"> </w:t>
      </w:r>
      <w:r>
        <w:t xml:space="preserve">- Salary surveys: PayScale, Glassdoor, salaryexplorer.com, payanalytics.ro</w:t>
      </w:r>
      <w:r>
        <w:t xml:space="preserve"> </w:t>
      </w:r>
      <w:r>
        <w:t xml:space="preserve">- LinkedIn Talent Insights (paid) / public LinkedIn member counts by city</w:t>
      </w:r>
      <w:r>
        <w:t xml:space="preserve"> </w:t>
      </w:r>
      <w:r>
        <w:t xml:space="preserve">- OECD Employment Database</w:t>
      </w:r>
    </w:p>
    <w:p>
      <w:r>
        <w:pict>
          <v:rect style="width:0;height:1.5pt" o:hralign="center" o:hrstd="t" o:hr="t"/>
        </w:pict>
      </w:r>
    </w:p>
    <w:bookmarkEnd w:id="17"/>
    <w:bookmarkStart w:id="18" w:name="education-talent-pipeline"/>
    <w:p>
      <w:pPr>
        <w:pStyle w:val="Heading2"/>
      </w:pPr>
      <w:r>
        <w:t xml:space="preserve">10. Education &amp; Talent Pipeline</w:t>
      </w:r>
    </w:p>
    <w:p>
      <w:pPr>
        <w:pStyle w:val="FirstParagraph"/>
      </w:pPr>
      <w:r>
        <w:rPr>
          <w:i/>
          <w:iCs/>
        </w:rPr>
        <w:t xml:space="preserve">Pages 22–23 — vocational schools, dual programs, graduates/year, university programs, available seats per faculty.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schools &amp; universities (count, programs, capacity), graduates per year by field, dual-education partnerships, R&amp;D output.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Ministerul Educației (edu.ro) — institutional registry, capacity</w:t>
      </w:r>
      <w:r>
        <w:t xml:space="preserve"> </w:t>
      </w:r>
      <w:r>
        <w:t xml:space="preserve">- ARACIS (aracis.ro) — accredited programs</w:t>
      </w:r>
      <w:r>
        <w:t xml:space="preserve"> </w:t>
      </w:r>
      <w:r>
        <w:t xml:space="preserve">- UEFISCDI (uefiscdi.ro) — university data, R&amp;D</w:t>
      </w:r>
      <w:r>
        <w:t xml:space="preserve"> </w:t>
      </w:r>
      <w:r>
        <w:t xml:space="preserve">- Individual university sites (UTCN, UBB, USAMV, UMF Cluj)</w:t>
      </w:r>
      <w:r>
        <w:t xml:space="preserve"> </w:t>
      </w:r>
      <w:r>
        <w:t xml:space="preserve">- ETER (European Tertiary Education Register)</w:t>
      </w:r>
      <w:r>
        <w:t xml:space="preserve"> </w:t>
      </w:r>
      <w:r>
        <w:t xml:space="preserve">- Eurostat Education (</w:t>
      </w:r>
      <w:r>
        <w:rPr>
          <w:rStyle w:val="VerbatimChar"/>
        </w:rPr>
        <w:t xml:space="preserve">educ_*</w:t>
      </w:r>
      <w:r>
        <w:t xml:space="preserve">)</w:t>
      </w:r>
      <w:r>
        <w:t xml:space="preserve"> </w:t>
      </w:r>
      <w:r>
        <w:t xml:space="preserve">- OpenAlex — academic publications &amp; researchers per institution</w:t>
      </w:r>
      <w:r>
        <w:t xml:space="preserve"> </w:t>
      </w:r>
      <w:r>
        <w:t xml:space="preserve">- ORCID, OpenAIRE — researcher/output graphs</w:t>
      </w:r>
    </w:p>
    <w:p>
      <w:r>
        <w:pict>
          <v:rect style="width:0;height:1.5pt" o:hralign="center" o:hrstd="t" o:hr="t"/>
        </w:pict>
      </w:r>
    </w:p>
    <w:bookmarkEnd w:id="18"/>
    <w:bookmarkStart w:id="19" w:name="existing-business-ecosystem"/>
    <w:p>
      <w:pPr>
        <w:pStyle w:val="Heading2"/>
      </w:pPr>
      <w:r>
        <w:t xml:space="preserve">11. Existing Business Ecosystem</w:t>
      </w:r>
    </w:p>
    <w:p>
      <w:pPr>
        <w:pStyle w:val="FirstParagraph"/>
      </w:pPr>
      <w:r>
        <w:rPr>
          <w:i/>
          <w:iCs/>
        </w:rPr>
        <w:t xml:space="preserve">Page 24 — De’Longhi, Endava, Emerson, Bosch with employee counts and sectors.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major employers, employee counts, sector, foreign vs domestic capital, startup &amp; R&amp;D ecosystem, clusters.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ONRC (onrc.ro) — official trade registry</w:t>
      </w:r>
      <w:r>
        <w:t xml:space="preserve"> </w:t>
      </w:r>
      <w:r>
        <w:t xml:space="preserve">- listafirme.ro, termene.ro, risco.ro — usable mirrors with financials</w:t>
      </w:r>
      <w:r>
        <w:t xml:space="preserve"> </w:t>
      </w:r>
      <w:r>
        <w:t xml:space="preserve">- Crunchbase — startup/funding data</w:t>
      </w:r>
      <w:r>
        <w:t xml:space="preserve"> </w:t>
      </w:r>
      <w:r>
        <w:t xml:space="preserve">- Dealroom.co — European startup ecosystem</w:t>
      </w:r>
      <w:r>
        <w:t xml:space="preserve"> </w:t>
      </w:r>
      <w:r>
        <w:t xml:space="preserve">- PitchBook (paid)</w:t>
      </w:r>
      <w:r>
        <w:t xml:space="preserve"> </w:t>
      </w:r>
      <w:r>
        <w:t xml:space="preserve">- LinkedIn Company pages — employee counts</w:t>
      </w:r>
      <w:r>
        <w:t xml:space="preserve"> </w:t>
      </w:r>
      <w:r>
        <w:t xml:space="preserve">- CORDIS (cordis.europa.eu) — EU R&amp;D project beneficiaries</w:t>
      </w:r>
      <w:r>
        <w:t xml:space="preserve"> </w:t>
      </w:r>
      <w:r>
        <w:t xml:space="preserve">- PatentsView, EPO Espacenet, WIPO PATENTSCOPE — patent activity</w:t>
      </w:r>
      <w:r>
        <w:t xml:space="preserve"> </w:t>
      </w:r>
      <w:r>
        <w:t xml:space="preserve">- Romanian Industry Clusters (clustero.eu)</w:t>
      </w:r>
    </w:p>
    <w:p>
      <w:r>
        <w:pict>
          <v:rect style="width:0;height:1.5pt" o:hralign="center" o:hrstd="t" o:hr="t"/>
        </w:pict>
      </w:r>
    </w:p>
    <w:bookmarkEnd w:id="19"/>
    <w:bookmarkStart w:id="20" w:name="innovation-research-startup-ecosystem"/>
    <w:p>
      <w:pPr>
        <w:pStyle w:val="Heading2"/>
      </w:pPr>
      <w:r>
        <w:t xml:space="preserve">12. Innovation, Research &amp; Startup Ecosystem</w:t>
      </w:r>
    </w:p>
    <w:p>
      <w:pPr>
        <w:pStyle w:val="FirstParagraph"/>
      </w:pPr>
      <w:r>
        <w:rPr>
          <w:i/>
          <w:iCs/>
        </w:rPr>
        <w:t xml:space="preserve">Implied by challenge brief; supports the</w:t>
      </w:r>
      <w:r>
        <w:rPr>
          <w:i/>
          <w:iCs/>
        </w:rPr>
        <w:t xml:space="preserve"> </w:t>
      </w:r>
      <w:r>
        <w:rPr>
          <w:i/>
          <w:iCs/>
        </w:rPr>
        <w:t xml:space="preserve">“innovation district”</w:t>
      </w:r>
      <w:r>
        <w:rPr>
          <w:i/>
          <w:iCs/>
        </w:rPr>
        <w:t xml:space="preserve"> </w:t>
      </w:r>
      <w:r>
        <w:rPr>
          <w:i/>
          <w:iCs/>
        </w:rPr>
        <w:t xml:space="preserve">narrative.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R&amp;D spend (% GDP), researchers per 1k workers, patents per capita, EU R&amp;I project participation, startups &amp; funding, scientific publications.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Global Innovation Index (WIPO)</w:t>
      </w:r>
      <w:r>
        <w:t xml:space="preserve"> </w:t>
      </w:r>
      <w:r>
        <w:t xml:space="preserve">- European Innovation Scoreboard (DG R&amp;I)</w:t>
      </w:r>
      <w:r>
        <w:t xml:space="preserve"> </w:t>
      </w:r>
      <w:r>
        <w:t xml:space="preserve">- Regional Innovation Scoreboard (NUTS2)</w:t>
      </w:r>
      <w:r>
        <w:t xml:space="preserve"> </w:t>
      </w:r>
      <w:r>
        <w:t xml:space="preserve">- CORDIS (EU framework programs: H2020, Horizon Europe)</w:t>
      </w:r>
      <w:r>
        <w:t xml:space="preserve"> </w:t>
      </w:r>
      <w:r>
        <w:t xml:space="preserve">- OpenAlex — publications, citations, author affiliations</w:t>
      </w:r>
      <w:r>
        <w:t xml:space="preserve"> </w:t>
      </w:r>
      <w:r>
        <w:t xml:space="preserve">- PatentsView, EPO PATSTAT, Espacenet</w:t>
      </w:r>
      <w:r>
        <w:t xml:space="preserve"> </w:t>
      </w:r>
      <w:r>
        <w:t xml:space="preserve">- Crunchbase, Dealroom, Tracxn — startups &amp; VC</w:t>
      </w:r>
      <w:r>
        <w:t xml:space="preserve"> </w:t>
      </w:r>
      <w:r>
        <w:t xml:space="preserve">- GitHub developer concentration (commits geo-tagged via GHTorrent)</w:t>
      </w:r>
    </w:p>
    <w:p>
      <w:r>
        <w:pict>
          <v:rect style="width:0;height:1.5pt" o:hralign="center" o:hrstd="t" o:hr="t"/>
        </w:pict>
      </w:r>
    </w:p>
    <w:bookmarkEnd w:id="20"/>
    <w:bookmarkStart w:id="21" w:name="environment-sustainability-climate-risk"/>
    <w:p>
      <w:pPr>
        <w:pStyle w:val="Heading2"/>
      </w:pPr>
      <w:r>
        <w:t xml:space="preserve">13. Environment, Sustainability &amp; Climate Risk</w:t>
      </w:r>
    </w:p>
    <w:p>
      <w:pPr>
        <w:pStyle w:val="FirstParagraph"/>
      </w:pPr>
      <w:r>
        <w:rPr>
          <w:i/>
          <w:iCs/>
        </w:rPr>
        <w:t xml:space="preserve">Implicit (photovoltaic park, CO₂ forecast on p. 10) and central to the challenge brief.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air quality (PM2.5, NO₂), water stress, flood/drought risk, land cover, renewable potential (solar/wind), CO₂ intensity, protected areas.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Copernicus (CAMS air, CLMS land, CEMS emergency, C3S climate, Sentinel imagery)</w:t>
      </w:r>
      <w:r>
        <w:t xml:space="preserve"> </w:t>
      </w:r>
      <w:r>
        <w:t xml:space="preserve">- European Environment Agency (eea.europa.eu)</w:t>
      </w:r>
      <w:r>
        <w:t xml:space="preserve"> </w:t>
      </w:r>
      <w:r>
        <w:t xml:space="preserve">- ANPM (anpm.ro) — Romanian environmental agency</w:t>
      </w:r>
      <w:r>
        <w:t xml:space="preserve"> </w:t>
      </w:r>
      <w:r>
        <w:t xml:space="preserve">- Global Solar Atlas, Global Wind Atlas (ESMAP / DTU)</w:t>
      </w:r>
      <w:r>
        <w:t xml:space="preserve"> </w:t>
      </w:r>
      <w:r>
        <w:t xml:space="preserve">- ENTSO-E for grid mix</w:t>
      </w:r>
      <w:r>
        <w:t xml:space="preserve"> </w:t>
      </w:r>
      <w:r>
        <w:t xml:space="preserve">- World Resources Institute — Aqueduct (water risk)</w:t>
      </w:r>
      <w:r>
        <w:t xml:space="preserve"> </w:t>
      </w:r>
      <w:r>
        <w:t xml:space="preserve">- Climate-ADAPT (EU adaptation portal)</w:t>
      </w:r>
    </w:p>
    <w:p>
      <w:r>
        <w:pict>
          <v:rect style="width:0;height:1.5pt" o:hralign="center" o:hrstd="t" o:hr="t"/>
        </w:pict>
      </w:r>
    </w:p>
    <w:bookmarkEnd w:id="21"/>
    <w:bookmarkStart w:id="22" w:name="tax-incentives-state-aid"/>
    <w:p>
      <w:pPr>
        <w:pStyle w:val="Heading2"/>
      </w:pPr>
      <w:r>
        <w:t xml:space="preserve">14. Tax, Incentives &amp; State Aid</w:t>
      </w:r>
    </w:p>
    <w:p>
      <w:pPr>
        <w:pStyle w:val="FirstParagraph"/>
      </w:pPr>
      <w:r>
        <w:rPr>
          <w:i/>
          <w:iCs/>
        </w:rPr>
        <w:t xml:space="preserve">Pages 25–29 — corporate tax, VAT, local exemptions, hiring subsidies, state-aid schemes table (GD 300/2024, ConstructPlus, GD 959/2022, InvestAlim, etc.), CEE tax comparison.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corporate income tax, VAT, local tax rates, hiring subsidies (€/month per category), active state-aid schemes (budget, intensity, eligibility), cross-country comparison.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Ministerul Finanțelor (mfinante.gov.ro) — Fiscal Code, GD (Hotărâri de Guvern)</w:t>
      </w:r>
      <w:r>
        <w:t xml:space="preserve"> </w:t>
      </w:r>
      <w:r>
        <w:t xml:space="preserve">- ANAF (anaf.ro)</w:t>
      </w:r>
      <w:r>
        <w:t xml:space="preserve"> </w:t>
      </w:r>
      <w:r>
        <w:t xml:space="preserve">- Consiliul Concurenței (consiliulconcurentei.ro) — state-aid registry</w:t>
      </w:r>
      <w:r>
        <w:t xml:space="preserve"> </w:t>
      </w:r>
      <w:r>
        <w:t xml:space="preserve">- European Commission — State Aid Scoreboard (TAM database)</w:t>
      </w:r>
      <w:r>
        <w:t xml:space="preserve"> </w:t>
      </w:r>
      <w:r>
        <w:t xml:space="preserve">- InvestRomania (investromania.gov.ro) — investor incentives portal</w:t>
      </w:r>
      <w:r>
        <w:t xml:space="preserve"> </w:t>
      </w:r>
      <w:r>
        <w:t xml:space="preserve">- PwC / KPMG / Deloitte / EY annual tax summaries (PDF scrape)</w:t>
      </w:r>
      <w:r>
        <w:t xml:space="preserve"> </w:t>
      </w:r>
      <w:r>
        <w:t xml:space="preserve">- OECD Tax Database (tax-policy / corporate-tax-stats)</w:t>
      </w:r>
      <w:r>
        <w:t xml:space="preserve"> </w:t>
      </w:r>
      <w:r>
        <w:t xml:space="preserve">- IBFD Tax Research Platform (paid)</w:t>
      </w:r>
      <w:r>
        <w:t xml:space="preserve"> </w:t>
      </w:r>
      <w:r>
        <w:t xml:space="preserve">- Monitorul Oficial (monitoruloficial.ro) — laws &amp; GDs full-text</w:t>
      </w:r>
    </w:p>
    <w:p>
      <w:r>
        <w:pict>
          <v:rect style="width:0;height:1.5pt" o:hralign="center" o:hrstd="t" o:hr="t"/>
        </w:pict>
      </w:r>
    </w:p>
    <w:bookmarkEnd w:id="22"/>
    <w:bookmarkStart w:id="23" w:name="Xda19613b8c557e7207de0e281db30c6a509c79e"/>
    <w:p>
      <w:pPr>
        <w:pStyle w:val="Heading2"/>
      </w:pPr>
      <w:r>
        <w:t xml:space="preserve">15. Mobility &amp; Connectivity (Digital Infrastructure)</w:t>
      </w:r>
    </w:p>
    <w:p>
      <w:pPr>
        <w:pStyle w:val="FirstParagraph"/>
      </w:pPr>
      <w:r>
        <w:rPr>
          <w:i/>
          <w:iCs/>
        </w:rPr>
        <w:t xml:space="preserve">Implicit —</w:t>
      </w:r>
      <w:r>
        <w:rPr>
          <w:i/>
          <w:iCs/>
        </w:rPr>
        <w:t xml:space="preserve"> </w:t>
      </w:r>
      <w:r>
        <w:rPr>
          <w:i/>
          <w:iCs/>
        </w:rPr>
        <w:t xml:space="preserve">“IT hub”</w:t>
      </w:r>
      <w:r>
        <w:rPr>
          <w:i/>
          <w:iCs/>
        </w:rPr>
        <w:t xml:space="preserve">, but not detailed in this PDF. Common investor ask.</w:t>
      </w:r>
    </w:p>
    <w:p>
      <w:pPr>
        <w:pStyle w:val="BodyText"/>
      </w:pPr>
      <w:r>
        <w:rPr>
          <w:b/>
          <w:bCs/>
        </w:rPr>
        <w:t xml:space="preserve">Data points:</w:t>
      </w:r>
      <w:r>
        <w:t xml:space="preserve"> </w:t>
      </w:r>
      <w:r>
        <w:t xml:space="preserve">broadband coverage &amp; speed, 5G coverage, fixed/mobile penetration, fiber availability, data center proximity.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 ANCOM (ancom.ro / netograf.ro) — Romanian telecom regulator</w:t>
      </w:r>
      <w:r>
        <w:t xml:space="preserve"> </w:t>
      </w:r>
      <w:r>
        <w:t xml:space="preserve">- nPerf, Ookla Speedtest open data</w:t>
      </w:r>
      <w:r>
        <w:t xml:space="preserve"> </w:t>
      </w:r>
      <w:r>
        <w:t xml:space="preserve">- European Commission DESI (Digital Economy and Society Index)</w:t>
      </w:r>
      <w:r>
        <w:t xml:space="preserve"> </w:t>
      </w:r>
      <w:r>
        <w:t xml:space="preserve">- OpenSignal / Cloudflare Radar</w:t>
      </w:r>
      <w:r>
        <w:t xml:space="preserve"> </w:t>
      </w:r>
      <w:r>
        <w:t xml:space="preserve">- DataCenterMap.com / Cushman &amp; Wakefield data center reports</w:t>
      </w:r>
    </w:p>
    <w:p>
      <w:r>
        <w:pict>
          <v:rect style="width:0;height:1.5pt" o:hralign="center" o:hrstd="t" o:hr="t"/>
        </w:pict>
      </w:r>
    </w:p>
    <w:bookmarkEnd w:id="23"/>
    <w:bookmarkStart w:id="24" w:name="quick-start-coverage-matrix"/>
    <w:p>
      <w:pPr>
        <w:pStyle w:val="Heading2"/>
      </w:pPr>
      <w:r>
        <w:t xml:space="preserve">Quick-Start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Primary Open Source</w:t>
            </w:r>
          </w:p>
        </w:tc>
        <w:tc>
          <w:tcPr/>
          <w:p>
            <w:pPr>
              <w:pStyle w:val="Compact"/>
            </w:pPr>
            <w:r>
              <w:t xml:space="preserve">Romania-Specific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Location</w:t>
            </w:r>
          </w:p>
        </w:tc>
        <w:tc>
          <w:tcPr/>
          <w:p>
            <w:pPr>
              <w:pStyle w:val="Compact"/>
            </w:pPr>
            <w:r>
              <w:t xml:space="preserve">OpenStreetMap + ORS</w:t>
            </w:r>
          </w:p>
        </w:tc>
        <w:tc>
          <w:tcPr/>
          <w:p>
            <w:pPr>
              <w:pStyle w:val="Compact"/>
            </w:pPr>
            <w:r>
              <w:t xml:space="preserve">CNAIR, CFR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Economy</w:t>
            </w:r>
          </w:p>
        </w:tc>
        <w:tc>
          <w:tcPr/>
          <w:p>
            <w:pPr>
              <w:pStyle w:val="Compact"/>
            </w:pPr>
            <w:r>
              <w:t xml:space="preserve">Eurostat, World Bank</w:t>
            </w:r>
          </w:p>
        </w:tc>
        <w:tc>
          <w:tcPr/>
          <w:p>
            <w:pPr>
              <w:pStyle w:val="Compact"/>
            </w:pPr>
            <w:r>
              <w:t xml:space="preserve">INS, BNR, ONRC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Quality of Life</w:t>
            </w:r>
          </w:p>
        </w:tc>
        <w:tc>
          <w:tcPr/>
          <w:p>
            <w:pPr>
              <w:pStyle w:val="Compact"/>
            </w:pPr>
            <w:r>
              <w:t xml:space="preserve">EC Urban Audit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Demographics</w:t>
            </w:r>
          </w:p>
        </w:tc>
        <w:tc>
          <w:tcPr/>
          <w:p>
            <w:pPr>
              <w:pStyle w:val="Compact"/>
            </w:pPr>
            <w:r>
              <w:t xml:space="preserve">Eurostat, GHS-POP</w:t>
            </w:r>
          </w:p>
        </w:tc>
        <w:tc>
          <w:tcPr/>
          <w:p>
            <w:pPr>
              <w:pStyle w:val="Compact"/>
            </w:pPr>
            <w:r>
              <w:t xml:space="preserve">INS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Land/Real Estate</w:t>
            </w:r>
          </w:p>
        </w:tc>
        <w:tc>
          <w:tcPr/>
          <w:p>
            <w:pPr>
              <w:pStyle w:val="Compact"/>
            </w:pPr>
            <w:r>
              <w:t xml:space="preserve">INSPIRE</w:t>
            </w:r>
          </w:p>
        </w:tc>
        <w:tc>
          <w:tcPr/>
          <w:p>
            <w:pPr>
              <w:pStyle w:val="Compact"/>
            </w:pPr>
            <w:r>
              <w:t xml:space="preserve">ANCPI, Imobiliare.ro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Transport</w:t>
            </w:r>
          </w:p>
        </w:tc>
        <w:tc>
          <w:tcPr/>
          <w:p>
            <w:pPr>
              <w:pStyle w:val="Compact"/>
            </w:pPr>
            <w:r>
              <w:t xml:space="preserve">OSM, TEN-T</w:t>
            </w:r>
          </w:p>
        </w:tc>
        <w:tc>
          <w:tcPr/>
          <w:p>
            <w:pPr>
              <w:pStyle w:val="Compact"/>
            </w:pPr>
            <w:r>
              <w:t xml:space="preserve">CNAIR, SEAP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Utilities</w:t>
            </w:r>
          </w:p>
        </w:tc>
        <w:tc>
          <w:tcPr/>
          <w:p>
            <w:pPr>
              <w:pStyle w:val="Compact"/>
            </w:pPr>
            <w:r>
              <w:t xml:space="preserve">ENTSO-E</w:t>
            </w:r>
          </w:p>
        </w:tc>
        <w:tc>
          <w:tcPr/>
          <w:p>
            <w:pPr>
              <w:pStyle w:val="Compact"/>
            </w:pPr>
            <w:r>
              <w:t xml:space="preserve">ANRE, Transelectrica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Health</w:t>
            </w:r>
          </w:p>
        </w:tc>
        <w:tc>
          <w:tcPr/>
          <w:p>
            <w:pPr>
              <w:pStyle w:val="Compact"/>
            </w:pPr>
            <w:r>
              <w:t xml:space="preserve">Eurostat, WHO</w:t>
            </w:r>
          </w:p>
        </w:tc>
        <w:tc>
          <w:tcPr/>
          <w:p>
            <w:pPr>
              <w:pStyle w:val="Compact"/>
            </w:pPr>
            <w:r>
              <w:t xml:space="preserve">MS, CNAS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Labor</w:t>
            </w:r>
          </w:p>
        </w:tc>
        <w:tc>
          <w:tcPr/>
          <w:p>
            <w:pPr>
              <w:pStyle w:val="Compact"/>
            </w:pPr>
            <w:r>
              <w:t xml:space="preserve">Eurostat LFS</w:t>
            </w:r>
          </w:p>
        </w:tc>
        <w:tc>
          <w:tcPr/>
          <w:p>
            <w:pPr>
              <w:pStyle w:val="Compact"/>
            </w:pPr>
            <w:r>
              <w:t xml:space="preserve">INS, ANOFM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Education</w:t>
            </w:r>
          </w:p>
        </w:tc>
        <w:tc>
          <w:tcPr/>
          <w:p>
            <w:pPr>
              <w:pStyle w:val="Compact"/>
            </w:pPr>
            <w:r>
              <w:t xml:space="preserve">OpenAlex, Eurostat</w:t>
            </w:r>
          </w:p>
        </w:tc>
        <w:tc>
          <w:tcPr/>
          <w:p>
            <w:pPr>
              <w:pStyle w:val="Compact"/>
            </w:pPr>
            <w:r>
              <w:t xml:space="preserve">edu.ro, ARACIS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Business Ecosystem</w:t>
            </w:r>
          </w:p>
        </w:tc>
        <w:tc>
          <w:tcPr/>
          <w:p>
            <w:pPr>
              <w:pStyle w:val="Compact"/>
            </w:pPr>
            <w:r>
              <w:t xml:space="preserve">Crunchbase, CORDIS</w:t>
            </w:r>
          </w:p>
        </w:tc>
        <w:tc>
          <w:tcPr/>
          <w:p>
            <w:pPr>
              <w:pStyle w:val="Compact"/>
            </w:pPr>
            <w:r>
              <w:t xml:space="preserve">ONRC, listafirme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Innovation</w:t>
            </w:r>
          </w:p>
        </w:tc>
        <w:tc>
          <w:tcPr/>
          <w:p>
            <w:pPr>
              <w:pStyle w:val="Compact"/>
            </w:pPr>
            <w:r>
              <w:t xml:space="preserve">EIS, CORDIS, OpenAlex</w:t>
            </w:r>
          </w:p>
        </w:tc>
        <w:tc>
          <w:tcPr/>
          <w:p>
            <w:pPr>
              <w:pStyle w:val="Compact"/>
            </w:pPr>
            <w:r>
              <w:t xml:space="preserve">UEFISCDI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 Environment</w:t>
            </w:r>
          </w:p>
        </w:tc>
        <w:tc>
          <w:tcPr/>
          <w:p>
            <w:pPr>
              <w:pStyle w:val="Compact"/>
            </w:pPr>
            <w:r>
              <w:t xml:space="preserve">Copernicus, EEA</w:t>
            </w:r>
          </w:p>
        </w:tc>
        <w:tc>
          <w:tcPr/>
          <w:p>
            <w:pPr>
              <w:pStyle w:val="Compact"/>
            </w:pPr>
            <w:r>
              <w:t xml:space="preserve">ANPM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 Tax/Incentives</w:t>
            </w:r>
          </w:p>
        </w:tc>
        <w:tc>
          <w:tcPr/>
          <w:p>
            <w:pPr>
              <w:pStyle w:val="Compact"/>
            </w:pPr>
            <w:r>
              <w:t xml:space="preserve">EC State Aid</w:t>
            </w:r>
          </w:p>
        </w:tc>
        <w:tc>
          <w:tcPr/>
          <w:p>
            <w:pPr>
              <w:pStyle w:val="Compact"/>
            </w:pPr>
            <w:r>
              <w:t xml:space="preserve">MFP, ANAF, InvestRomania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 Digital Infra</w:t>
            </w:r>
          </w:p>
        </w:tc>
        <w:tc>
          <w:tcPr/>
          <w:p>
            <w:pPr>
              <w:pStyle w:val="Compact"/>
            </w:pPr>
            <w:r>
              <w:t xml:space="preserve">DESI</w:t>
            </w:r>
          </w:p>
        </w:tc>
        <w:tc>
          <w:tcPr/>
          <w:p>
            <w:pPr>
              <w:pStyle w:val="Compact"/>
            </w:pPr>
            <w:r>
              <w:t xml:space="preserve">ANCOM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2026-05-23T09:44:40Z</dcterms:created>
  <dcterms:modified xsi:type="dcterms:W3CDTF">2026-05-23T09:44:40Z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