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5241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20000" cy="1679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2025年8月25日 22_46_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79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60" w:line="276" w:lineRule="auto"/>
            </w:pPr>
            <w:r>
              <w:rPr>
                <w:rFonts w:ascii="Arial" w:hAnsi="Arial" w:eastAsia="MS Gothic"/>
                <w:b/>
                <w:color w:val="123B5D"/>
                <w:sz w:val="44"/>
              </w:rPr>
              <w:t>未来を切り開く</w:t>
              <w:br/>
              <w:t>自走力を育てる学びの場</w:t>
            </w:r>
          </w:p>
          <w:p>
            <w:pPr>
              <w:spacing w:before="0" w:after="120" w:line="276" w:lineRule="auto"/>
            </w:pPr>
            <w:r>
              <w:rPr>
                <w:rFonts w:ascii="Arial" w:hAnsi="Arial" w:eastAsia="MS Gothic"/>
                <w:b/>
                <w:color w:val="123B5D"/>
                <w:sz w:val="56"/>
              </w:rPr>
              <w:t>VISIQ Academy</w:t>
            </w:r>
          </w:p>
          <w:p>
            <w:pPr>
              <w:spacing w:before="0" w:after="160" w:line="276" w:lineRule="auto"/>
            </w:pPr>
            <w:r>
              <w:rPr>
                <w:rFonts w:ascii="Arial" w:hAnsi="Arial" w:eastAsia="MS Gothic"/>
                <w:b w:val="0"/>
                <w:color w:val="5B6670"/>
                <w:sz w:val="23"/>
              </w:rPr>
              <w:t>家庭環境に左右されない学びの環境をつくり、</w:t>
              <w:br/>
              <w:t>子どもが自ら学び続ける力を育てます。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5241"/>
            </w:tblGrid>
            <w:tr>
              <w:tc>
                <w:tcPr>
                  <w:tcW w:type="dxa" w:w="5241"/>
                  <w:shd w:fill="EEF7FB"/>
                  <w:tcBorders>
                    <w:top w:val="single" w:sz="14" w:space="0" w:color="D3E7F0"/>
                    <w:left w:val="single" w:sz="14" w:space="0" w:color="D3E7F0"/>
                    <w:bottom w:val="single" w:sz="14" w:space="0" w:color="D3E7F0"/>
                    <w:right w:val="single" w:sz="14" w:space="0" w:color="D3E7F0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MS Gothic"/>
                      <w:b/>
                      <w:color w:val="4BA3B0"/>
                      <w:sz w:val="24"/>
                    </w:rPr>
                    <w:t>教える塾ではなく、</w:t>
                    <w:br/>
                    <w:t>自分で学べるようになるための場所。</w:t>
                  </w:r>
                </w:p>
              </w:tc>
            </w:tr>
          </w:tbl>
          <w:p/>
        </w:tc>
        <w:tc>
          <w:tcPr>
            <w:tcW w:type="dxa" w:w="5241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3685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_cr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368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0" w:line="276" w:lineRule="auto"/>
              <w:jc w:val="center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楽しく学びながら、少しずつ</w:t>
              <w:br/>
              <w:t>「自分で進む力」を育てます。</w:t>
            </w:r>
          </w:p>
        </w:tc>
      </w:tr>
    </w:tbl>
    <w:p>
      <w:pPr>
        <w:spacing w:before="200" w:after="80" w:line="276" w:lineRule="auto"/>
      </w:pPr>
      <w:r>
        <w:rPr>
          <w:rFonts w:ascii="Arial" w:hAnsi="Arial" w:eastAsia="MS Gothic"/>
          <w:b/>
          <w:color w:val="123B5D"/>
          <w:sz w:val="32"/>
        </w:rPr>
        <w:t>VISIQ Academyとは何か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3"/>
        <w:gridCol w:w="3203"/>
        <w:gridCol w:w="3203"/>
      </w:tblGrid>
      <w:tr>
        <w:tc>
          <w:tcPr>
            <w:tcW w:type="dxa" w:w="3494"/>
            <w:shd w:fill="F7FBFE"/>
            <w:tcBorders>
              <w:top w:val="single" w:sz="10" w:space="0" w:color="D9E6EE"/>
              <w:left w:val="single" w:sz="10" w:space="0" w:color="D9E6EE"/>
              <w:bottom w:val="single" w:sz="10" w:space="0" w:color="D9E6EE"/>
              <w:right w:val="single" w:sz="10" w:space="0" w:color="D9E6EE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b/>
                <w:color w:val="123B5D"/>
                <w:sz w:val="23"/>
              </w:rPr>
              <w:t>教育理念</w:t>
            </w:r>
          </w:p>
          <w:p>
            <w:pPr>
              <w:spacing w:before="40"/>
              <w:jc w:val="center"/>
            </w:pPr>
            <w:r>
              <w:rPr>
                <w:rFonts w:ascii="Arial" w:hAnsi="Arial" w:eastAsia="MS Gothic"/>
                <w:b w:val="0"/>
                <w:color w:val="5B6670"/>
                <w:sz w:val="20"/>
              </w:rPr>
              <w:t>学びを「消費」ではなく</w:t>
              <w:br/>
              <w:t>一生使える「資産」に変えることを目指します。</w:t>
            </w:r>
          </w:p>
        </w:tc>
        <w:tc>
          <w:tcPr>
            <w:tcW w:type="dxa" w:w="3494"/>
            <w:shd w:fill="FBF9F3"/>
            <w:tcBorders>
              <w:top w:val="single" w:sz="10" w:space="0" w:color="D9E6EE"/>
              <w:left w:val="single" w:sz="10" w:space="0" w:color="D9E6EE"/>
              <w:bottom w:val="single" w:sz="10" w:space="0" w:color="D9E6EE"/>
              <w:right w:val="single" w:sz="10" w:space="0" w:color="D9E6EE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b/>
                <w:color w:val="123B5D"/>
                <w:sz w:val="23"/>
              </w:rPr>
              <w:t>一般的な塾との違い</w:t>
            </w:r>
          </w:p>
          <w:p>
            <w:pPr>
              <w:spacing w:before="40"/>
              <w:jc w:val="center"/>
            </w:pPr>
            <w:r>
              <w:rPr>
                <w:rFonts w:ascii="Arial" w:hAnsi="Arial" w:eastAsia="MS Gothic"/>
                <w:b w:val="0"/>
                <w:color w:val="5B6670"/>
                <w:sz w:val="20"/>
              </w:rPr>
              <w:t>授業を受けるだけでなく、</w:t>
              <w:br/>
              <w:t>学習を自分で回す仕組みを育てます。</w:t>
            </w:r>
          </w:p>
        </w:tc>
        <w:tc>
          <w:tcPr>
            <w:tcW w:type="dxa" w:w="3494"/>
            <w:shd w:fill="F7FBFE"/>
            <w:tcBorders>
              <w:top w:val="single" w:sz="10" w:space="0" w:color="D9E6EE"/>
              <w:left w:val="single" w:sz="10" w:space="0" w:color="D9E6EE"/>
              <w:bottom w:val="single" w:sz="10" w:space="0" w:color="D9E6EE"/>
              <w:right w:val="single" w:sz="10" w:space="0" w:color="D9E6EE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b/>
                <w:color w:val="123B5D"/>
                <w:sz w:val="23"/>
              </w:rPr>
              <w:t>子どもが伸びる理由</w:t>
            </w:r>
          </w:p>
          <w:p>
            <w:pPr>
              <w:spacing w:before="40"/>
              <w:jc w:val="center"/>
            </w:pPr>
            <w:r>
              <w:rPr>
                <w:rFonts w:ascii="Arial" w:hAnsi="Arial" w:eastAsia="MS Gothic"/>
                <w:b w:val="0"/>
                <w:color w:val="5B6670"/>
                <w:sz w:val="20"/>
              </w:rPr>
              <w:t>家での実行と、教室での振り返りを</w:t>
              <w:br/>
              <w:t>毎週くり返すからです。</w:t>
            </w:r>
          </w:p>
        </w:tc>
      </w:tr>
    </w:tbl>
    <w:p>
      <w:pPr>
        <w:sectPr>
          <w:footerReference w:type="default" r:id="rId12"/>
          <w:pgSz w:w="12240" w:h="15840"/>
          <w:pgMar w:top="794" w:right="879" w:bottom="737" w:left="879" w:header="720" w:footer="720" w:gutter="0"/>
          <w:cols w:space="720"/>
          <w:docGrid w:linePitch="360"/>
        </w:sectPr>
      </w:pPr>
    </w:p>
    <w:p>
      <w:pPr>
        <w:spacing w:before="0" w:after="80" w:line="276" w:lineRule="auto"/>
      </w:pPr>
      <w:r>
        <w:rPr>
          <w:rFonts w:ascii="Arial" w:hAnsi="Arial" w:eastAsia="MS Gothic"/>
          <w:b/>
          <w:color w:val="123B5D"/>
          <w:sz w:val="38"/>
        </w:rPr>
        <w:t>一般的な塾との違い</w:t>
      </w:r>
    </w:p>
    <w:p>
      <w:pPr>
        <w:spacing w:before="0" w:after="160" w:line="276" w:lineRule="auto"/>
      </w:pPr>
      <w:r>
        <w:rPr>
          <w:rFonts w:ascii="Arial" w:hAnsi="Arial" w:eastAsia="MS Gothic"/>
          <w:b w:val="0"/>
          <w:color w:val="5B6670"/>
          <w:sz w:val="22"/>
        </w:rPr>
        <w:t>VISIQ Academyは、学力そのものだけでなく「学び方」そのものを育てる教育プログラムです。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5241"/>
            <w:shd w:fill="F5F7FA"/>
            <w:tcBorders>
              <w:top w:val="single" w:sz="10" w:space="0" w:color="D9E6EE"/>
              <w:left w:val="single" w:sz="10" w:space="0" w:color="D9E6EE"/>
              <w:bottom w:val="single" w:sz="10" w:space="0" w:color="D9E6EE"/>
              <w:right w:val="single" w:sz="10" w:space="0" w:color="D9E6EE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b/>
                <w:color w:val="123B5D"/>
                <w:sz w:val="27"/>
              </w:rPr>
              <w:t>一般的な塾</w:t>
            </w:r>
          </w:p>
        </w:tc>
        <w:tc>
          <w:tcPr>
            <w:tcW w:type="dxa" w:w="5241"/>
            <w:shd w:fill="F1F8FC"/>
            <w:tcBorders>
              <w:top w:val="single" w:sz="10" w:space="0" w:color="D9E6EE"/>
              <w:left w:val="single" w:sz="10" w:space="0" w:color="D9E6EE"/>
              <w:bottom w:val="single" w:sz="10" w:space="0" w:color="D9E6EE"/>
              <w:right w:val="single" w:sz="10" w:space="0" w:color="D9E6EE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b/>
                <w:color w:val="123B5D"/>
                <w:sz w:val="27"/>
              </w:rPr>
              <w:t>VISIQ Academy</w:t>
            </w:r>
          </w:p>
        </w:tc>
      </w:tr>
      <w:tr>
        <w:tc>
          <w:tcPr>
            <w:tcW w:type="dxa" w:w="5241"/>
            <w:tcBorders>
              <w:top w:val="single" w:sz="10" w:space="0" w:color="D9E6EE"/>
              <w:left w:val="single" w:sz="10" w:space="0" w:color="D9E6EE"/>
              <w:bottom w:val="single" w:sz="10" w:space="0" w:color="D9E6EE"/>
              <w:right w:val="single" w:sz="10" w:space="0" w:color="D9E6EE"/>
            </w:tcBorders>
          </w:tcPr>
          <w:p/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・教わることが中心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・家庭学習は本人任せになりやすい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・結果が出るまでの仕組みが見えにくい</w:t>
            </w:r>
          </w:p>
        </w:tc>
        <w:tc>
          <w:tcPr>
            <w:tcW w:type="dxa" w:w="5241"/>
            <w:tcBorders>
              <w:top w:val="single" w:sz="10" w:space="0" w:color="D9E6EE"/>
              <w:left w:val="single" w:sz="10" w:space="0" w:color="D9E6EE"/>
              <w:bottom w:val="single" w:sz="10" w:space="0" w:color="D9E6EE"/>
              <w:right w:val="single" w:sz="10" w:space="0" w:color="D9E6EE"/>
            </w:tcBorders>
          </w:tcPr>
          <w:p/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・自宅でDo、教室でPlan / Check / Act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・AIやタイピングで考えを言葉にする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・毎週の作戦会議で次の一歩を明確にする</w:t>
            </w:r>
          </w:p>
        </w:tc>
      </w:tr>
    </w:tbl>
    <w:p>
      <w:pPr>
        <w:spacing w:before="200" w:after="80" w:line="276" w:lineRule="auto"/>
      </w:pPr>
      <w:r>
        <w:rPr>
          <w:rFonts w:ascii="Arial" w:hAnsi="Arial" w:eastAsia="MS Gothic"/>
          <w:b/>
          <w:color w:val="123B5D"/>
          <w:sz w:val="34"/>
        </w:rPr>
        <w:t>学びの流れ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20"/>
            <w:shd w:fill="F6FBFF"/>
            <w:tcBorders>
              <w:top w:val="single" w:sz="10" w:space="0" w:color="D8E3EB"/>
              <w:left w:val="single" w:sz="10" w:space="0" w:color="D8E3EB"/>
              <w:bottom w:val="single" w:sz="10" w:space="0" w:color="D8E3EB"/>
              <w:right w:val="single" w:sz="10" w:space="0" w:color="D8E3EB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b/>
                <w:color w:val="123B5D"/>
                <w:sz w:val="22"/>
              </w:rPr>
              <w:t>1. タイピング</w:t>
            </w:r>
          </w:p>
          <w:p>
            <w:pPr>
              <w:jc w:val="center"/>
            </w:pPr>
            <w:r>
              <w:rPr>
                <w:rFonts w:ascii="Arial" w:hAnsi="Arial" w:eastAsia="MS Gothic"/>
                <w:b w:val="0"/>
                <w:color w:val="5B6670"/>
                <w:sz w:val="19"/>
              </w:rPr>
              <w:t>楽しく始めながら、</w:t>
              <w:br/>
              <w:t>思考を外に出す入口をつくる</w:t>
            </w:r>
          </w:p>
        </w:tc>
        <w:tc>
          <w:tcPr>
            <w:tcW w:type="dxa" w:w="2620"/>
            <w:shd w:fill="F8FBF7"/>
            <w:tcBorders>
              <w:top w:val="single" w:sz="10" w:space="0" w:color="D8E3EB"/>
              <w:left w:val="single" w:sz="10" w:space="0" w:color="D8E3EB"/>
              <w:bottom w:val="single" w:sz="10" w:space="0" w:color="D8E3EB"/>
              <w:right w:val="single" w:sz="10" w:space="0" w:color="D8E3EB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b/>
                <w:color w:val="123B5D"/>
                <w:sz w:val="22"/>
              </w:rPr>
              <w:t>2. AI対話</w:t>
            </w:r>
          </w:p>
          <w:p>
            <w:pPr>
              <w:jc w:val="center"/>
            </w:pPr>
            <w:r>
              <w:rPr>
                <w:rFonts w:ascii="Arial" w:hAnsi="Arial" w:eastAsia="MS Gothic"/>
                <w:b w:val="0"/>
                <w:color w:val="5B6670"/>
                <w:sz w:val="19"/>
              </w:rPr>
              <w:t>自分の気持ちや考えを</w:t>
              <w:br/>
              <w:t>言葉にする練習をする</w:t>
            </w:r>
          </w:p>
        </w:tc>
        <w:tc>
          <w:tcPr>
            <w:tcW w:type="dxa" w:w="2620"/>
            <w:shd w:fill="FFF9F2"/>
            <w:tcBorders>
              <w:top w:val="single" w:sz="10" w:space="0" w:color="D8E3EB"/>
              <w:left w:val="single" w:sz="10" w:space="0" w:color="D8E3EB"/>
              <w:bottom w:val="single" w:sz="10" w:space="0" w:color="D8E3EB"/>
              <w:right w:val="single" w:sz="10" w:space="0" w:color="D8E3EB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b/>
                <w:color w:val="123B5D"/>
                <w:sz w:val="22"/>
              </w:rPr>
              <w:t>3. 自宅でDo</w:t>
            </w:r>
          </w:p>
          <w:p>
            <w:pPr>
              <w:jc w:val="center"/>
            </w:pPr>
            <w:r>
              <w:rPr>
                <w:rFonts w:ascii="Arial" w:hAnsi="Arial" w:eastAsia="MS Gothic"/>
                <w:b w:val="0"/>
                <w:color w:val="5B6670"/>
                <w:sz w:val="19"/>
              </w:rPr>
              <w:t>スタサプを自分の計画で進め、</w:t>
              <w:br/>
              <w:t>挑戦と継続を積み重ねる</w:t>
            </w:r>
          </w:p>
        </w:tc>
        <w:tc>
          <w:tcPr>
            <w:tcW w:type="dxa" w:w="2620"/>
            <w:shd w:fill="F7F6FC"/>
            <w:tcBorders>
              <w:top w:val="single" w:sz="10" w:space="0" w:color="D8E3EB"/>
              <w:left w:val="single" w:sz="10" w:space="0" w:color="D8E3EB"/>
              <w:bottom w:val="single" w:sz="10" w:space="0" w:color="D8E3EB"/>
              <w:right w:val="single" w:sz="10" w:space="0" w:color="D8E3EB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b/>
                <w:color w:val="123B5D"/>
                <w:sz w:val="22"/>
              </w:rPr>
              <w:t>4. 作戦会議</w:t>
            </w:r>
          </w:p>
          <w:p>
            <w:pPr>
              <w:jc w:val="center"/>
            </w:pPr>
            <w:r>
              <w:rPr>
                <w:rFonts w:ascii="Arial" w:hAnsi="Arial" w:eastAsia="MS Gothic"/>
                <w:b w:val="0"/>
                <w:color w:val="5B6670"/>
                <w:sz w:val="19"/>
              </w:rPr>
              <w:t>できたこと・難しかったことを</w:t>
              <w:br/>
              <w:t>振り返り、次の作戦を立てる</w:t>
            </w:r>
          </w:p>
        </w:tc>
      </w:tr>
    </w:tbl>
    <w:p>
      <w:pPr>
        <w:sectPr>
          <w:pgSz w:w="12240" w:h="15840"/>
          <w:pgMar w:top="794" w:right="879" w:bottom="737" w:left="879" w:header="720" w:footer="720" w:gutter="0"/>
          <w:cols w:space="720"/>
          <w:docGrid w:linePitch="360"/>
        </w:sectPr>
      </w:pPr>
    </w:p>
    <w:p>
      <w:pPr>
        <w:spacing w:before="0" w:after="120" w:line="276" w:lineRule="auto"/>
      </w:pPr>
      <w:r>
        <w:rPr>
          <w:rFonts w:ascii="Arial" w:hAnsi="Arial" w:eastAsia="MS Gothic"/>
          <w:b/>
          <w:color w:val="123B5D"/>
          <w:sz w:val="36"/>
        </w:rPr>
        <w:t>AI・タイピング・作戦会議の役割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3742"/>
      </w:tblGrid>
      <w:tr>
        <w:tc>
          <w:tcPr>
            <w:tcW w:type="dxa" w:w="5241"/>
            <w:shd w:fill="F8FBFD"/>
            <w:tcBorders>
              <w:top w:val="single" w:sz="10" w:space="0" w:color="D8E3EB"/>
              <w:left w:val="single" w:sz="10" w:space="0" w:color="D8E3EB"/>
              <w:bottom w:val="single" w:sz="10" w:space="0" w:color="D8E3EB"/>
              <w:right w:val="single" w:sz="10" w:space="0" w:color="D8E3EB"/>
            </w:tcBorders>
          </w:tcPr>
          <w:p/>
          <w:p>
            <w:pPr>
              <w:spacing w:before="0" w:after="0" w:line="276" w:lineRule="auto"/>
            </w:pPr>
            <w:r>
              <w:rPr>
                <w:rFonts w:ascii="Arial" w:hAnsi="Arial" w:eastAsia="MS Gothic"/>
                <w:b/>
                <w:color w:val="123B5D"/>
                <w:sz w:val="27"/>
              </w:rPr>
              <w:t>AIの役割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・考えを整理する相手になる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・人には話しづらいことも言葉にしやすい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・答えを写す道具ではなく、思考を深める相手として使う</w:t>
            </w:r>
          </w:p>
          <w:p>
            <w:pPr>
              <w:spacing w:before="120" w:after="0" w:line="276" w:lineRule="auto"/>
            </w:pPr>
            <w:r>
              <w:rPr>
                <w:rFonts w:ascii="Arial" w:hAnsi="Arial" w:eastAsia="MS Gothic"/>
                <w:b/>
                <w:color w:val="123B5D"/>
                <w:sz w:val="27"/>
              </w:rPr>
              <w:t>タイピングの役割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・思考を外に出すインターフェースになる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・小学生でも始めやすく、成功体験を作りやすい</w:t>
            </w:r>
          </w:p>
          <w:p>
            <w:pPr>
              <w:spacing w:before="120" w:after="0" w:line="276" w:lineRule="auto"/>
            </w:pPr>
            <w:r>
              <w:rPr>
                <w:rFonts w:ascii="Arial" w:hAnsi="Arial" w:eastAsia="MS Gothic"/>
                <w:b/>
                <w:color w:val="123B5D"/>
                <w:sz w:val="27"/>
              </w:rPr>
              <w:t>作戦会議の役割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・うまくいった理由・難しかった理由をみんなで共有する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・次の1週間の作戦を自分で立て直す</w:t>
            </w:r>
          </w:p>
        </w:tc>
        <w:tc>
          <w:tcPr>
            <w:tcW w:type="dxa" w:w="524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106729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top_cr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067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41"/>
            <w:tcBorders>
              <w:top w:val="single" w:sz="10" w:space="0" w:color="D8E3EB"/>
              <w:left w:val="single" w:sz="10" w:space="0" w:color="D8E3EB"/>
              <w:bottom w:val="single" w:sz="10" w:space="0" w:color="D8E3EB"/>
              <w:right w:val="single" w:sz="10" w:space="0" w:color="D8E3EB"/>
            </w:tcBorders>
          </w:tcPr>
          <w:p/>
          <w:p>
            <w:pPr>
              <w:spacing w:before="0" w:after="0" w:line="276" w:lineRule="auto"/>
            </w:pPr>
            <w:r>
              <w:rPr>
                <w:rFonts w:ascii="Arial" w:hAnsi="Arial" w:eastAsia="MS Gothic"/>
                <w:b/>
                <w:color w:val="123B5D"/>
                <w:sz w:val="27"/>
              </w:rPr>
              <w:t>無料体験で体験できる内容の概要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・VISIQ Academyの考え方と全体像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・タイピングやAI対話の入口体験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・作戦会議の雰囲気と振り返りの流れ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・お子さまに合うかどうかの確認</w:t>
            </w:r>
          </w:p>
        </w:tc>
        <w:tc>
          <w:tcPr>
            <w:tcW w:type="dxa" w:w="5241"/>
            <w:shd w:fill="F8FBFD"/>
            <w:tcBorders>
              <w:top w:val="single" w:sz="10" w:space="0" w:color="D8E3EB"/>
              <w:left w:val="single" w:sz="10" w:space="0" w:color="D8E3EB"/>
              <w:bottom w:val="single" w:sz="10" w:space="0" w:color="D8E3EB"/>
              <w:right w:val="single" w:sz="10" w:space="0" w:color="D8E3EB"/>
            </w:tcBorders>
          </w:tcPr>
          <w:p/>
          <w:p>
            <w:pPr>
              <w:spacing w:before="0" w:after="0" w:line="276" w:lineRule="auto"/>
            </w:pPr>
            <w:r>
              <w:rPr>
                <w:rFonts w:ascii="Arial" w:hAnsi="Arial" w:eastAsia="MS Gothic"/>
                <w:b/>
                <w:color w:val="123B5D"/>
                <w:sz w:val="27"/>
              </w:rPr>
              <w:t>向いている子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・教材はあるのに家でうまく進まない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・言われる前に自分で進む力を育てたい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・学年を超えて先取りしたい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・考える力と言葉にする力を伸ばしたい</w:t>
            </w:r>
          </w:p>
        </w:tc>
      </w:tr>
    </w:tbl>
    <w:p>
      <w:pPr>
        <w:sectPr>
          <w:pgSz w:w="12240" w:h="15840"/>
          <w:pgMar w:top="794" w:right="879" w:bottom="737" w:left="879" w:header="720" w:footer="720" w:gutter="0"/>
          <w:cols w:space="720"/>
          <w:docGrid w:linePitch="360"/>
        </w:sectPr>
      </w:pPr>
    </w:p>
    <w:p>
      <w:pPr>
        <w:spacing w:before="0" w:after="120" w:line="276" w:lineRule="auto"/>
      </w:pPr>
      <w:r>
        <w:rPr>
          <w:rFonts w:ascii="Arial" w:hAnsi="Arial" w:eastAsia="MS Gothic"/>
          <w:b/>
          <w:color w:val="123B5D"/>
          <w:sz w:val="34"/>
        </w:rPr>
        <w:t>VISIQ検定・ランク制度・保護者に最初に起こる変化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5241"/>
            <w:shd w:fill="F9FCFE"/>
            <w:tcBorders>
              <w:top w:val="single" w:sz="10" w:space="0" w:color="D8E3EB"/>
              <w:left w:val="single" w:sz="10" w:space="0" w:color="D8E3EB"/>
              <w:bottom w:val="single" w:sz="10" w:space="0" w:color="D8E3EB"/>
              <w:right w:val="single" w:sz="10" w:space="0" w:color="D8E3EB"/>
            </w:tcBorders>
          </w:tcPr>
          <w:p/>
          <w:p>
            <w:pPr>
              <w:spacing w:before="0" w:after="0" w:line="276" w:lineRule="auto"/>
            </w:pPr>
            <w:r>
              <w:rPr>
                <w:rFonts w:ascii="Arial" w:hAnsi="Arial" w:eastAsia="MS Gothic"/>
                <w:b/>
                <w:color w:val="123B5D"/>
                <w:sz w:val="27"/>
              </w:rPr>
              <w:t>VISIQ検定の考え方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・英語・数学・国語を中心に到達度を確認する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・3級までは内部検定で回転数を高める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・準2級以上は外部検定で社会的な証明につなげる</w:t>
            </w:r>
          </w:p>
          <w:p>
            <w:pPr>
              <w:spacing w:before="120" w:after="0" w:line="276" w:lineRule="auto"/>
            </w:pPr>
            <w:r>
              <w:rPr>
                <w:rFonts w:ascii="Arial" w:hAnsi="Arial" w:eastAsia="MS Gothic"/>
                <w:b/>
                <w:color w:val="123B5D"/>
                <w:sz w:val="27"/>
              </w:rPr>
              <w:t>ランク制度の考え方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・ランクは順位ではなく、成長のしるし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・検定だけでなく、進捗・理解度・主体性を総合評価する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・比べるのは他人ではなく、昨日の自分</w:t>
            </w:r>
          </w:p>
        </w:tc>
        <w:tc>
          <w:tcPr>
            <w:tcW w:type="dxa" w:w="5241"/>
            <w:tcBorders>
              <w:top w:val="single" w:sz="10" w:space="0" w:color="D8E3EB"/>
              <w:left w:val="single" w:sz="10" w:space="0" w:color="D8E3EB"/>
              <w:bottom w:val="single" w:sz="10" w:space="0" w:color="D8E3EB"/>
              <w:right w:val="single" w:sz="10" w:space="0" w:color="D8E3EB"/>
            </w:tcBorders>
          </w:tcPr>
          <w:p/>
          <w:p>
            <w:pPr>
              <w:spacing w:before="0" w:after="0" w:line="276" w:lineRule="auto"/>
            </w:pPr>
            <w:r>
              <w:rPr>
                <w:rFonts w:ascii="Arial" w:hAnsi="Arial" w:eastAsia="MS Gothic"/>
                <w:b/>
                <w:color w:val="123B5D"/>
                <w:sz w:val="27"/>
              </w:rPr>
              <w:t>保護者に最初に起こる変化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・「勉強しなさい」と言う回数が少しずつ減る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・できたこと・できなかったことを子どもが話し始める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・家庭での学習が見えやすくなる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・小さな成功体験が増え、前向きな会話が増える</w:t>
            </w:r>
          </w:p>
          <w:p>
            <w:pPr>
              <w:spacing w:before="120" w:after="0" w:line="276" w:lineRule="auto"/>
            </w:pPr>
            <w:r>
              <w:rPr>
                <w:rFonts w:ascii="Arial" w:hAnsi="Arial" w:eastAsia="MS Gothic"/>
                <w:b/>
                <w:color w:val="123B5D"/>
                <w:sz w:val="27"/>
              </w:rPr>
              <w:t>向いているご家庭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・学び方そのものを育てたい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・家庭任せにせず、外部の仕組みも取り入れたい</w:t>
            </w:r>
          </w:p>
          <w:p>
            <w:pPr>
              <w:spacing w:after="80"/>
              <w:ind w:left="113"/>
            </w:pPr>
            <w:r>
              <w:rPr>
                <w:rFonts w:ascii="Arial" w:hAnsi="Arial" w:eastAsia="MS Gothic"/>
                <w:b w:val="0"/>
                <w:color w:val="5B6670"/>
                <w:sz w:val="21"/>
              </w:rPr>
              <w:t>・長期的に自走力を育てたい</w:t>
            </w:r>
          </w:p>
        </w:tc>
      </w:tr>
    </w:tbl>
    <w:p>
      <w:pPr>
        <w:spacing w:before="240" w:after="120" w:line="276" w:lineRule="auto"/>
      </w:pPr>
      <w:r>
        <w:rPr>
          <w:rFonts w:ascii="Arial" w:hAnsi="Arial" w:eastAsia="MS Gothic"/>
          <w:b w:val="0"/>
          <w:color w:val="5B6670"/>
          <w:sz w:val="21"/>
        </w:rPr>
        <w:t>このパンフレットは、VISIQ Academyの変わらないコアをまとめたものです。</w:t>
        <w:br/>
        <w:t>料金・開催日時・申込方法などの募集要項は、別紙でご案内します。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123B5D"/>
            <w:tcBorders>
              <w:top w:val="single" w:sz="0" w:space="0" w:color="123B5D"/>
              <w:left w:val="single" w:sz="0" w:space="0" w:color="123B5D"/>
              <w:bottom w:val="single" w:sz="0" w:space="0" w:color="123B5D"/>
              <w:right w:val="single" w:sz="0" w:space="0" w:color="123B5D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b/>
                <w:color w:val="FFFFFF"/>
                <w:sz w:val="24"/>
              </w:rPr>
              <w:t>VISIQ Academy  |  学びを“消費”から“資産”へ。</w:t>
            </w:r>
          </w:p>
        </w:tc>
      </w:tr>
    </w:tbl>
    <w:sectPr w:rsidR="00FC693F" w:rsidRPr="0006063C" w:rsidSect="00034616">
      <w:pgSz w:w="12240" w:h="15840"/>
      <w:pgMar w:top="794" w:right="879" w:bottom="737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S Gothic"/>
        <w:b w:val="0"/>
        <w:color w:val="6D7A86"/>
        <w:sz w:val="18"/>
      </w:rPr>
      <w:t>VISIQ Academy</w:t>
    </w:r>
    <w:r>
      <w:rPr>
        <w:rFonts w:ascii="Arial" w:hAnsi="Arial" w:eastAsia="MS Gothic"/>
        <w:b w:val="0"/>
        <w:color w:val="6D7A86"/>
        <w:sz w:val="18"/>
      </w:rPr>
      <w:t>VISIQ Academy</w:t>
    </w:r>
    <w:r>
      <w:rPr>
        <w:rFonts w:ascii="Arial" w:hAnsi="Arial" w:eastAsia="MS Gothic"/>
        <w:b w:val="0"/>
        <w:color w:val="6D7A86"/>
        <w:sz w:val="18"/>
      </w:rPr>
      <w:t>VISIQ Academy</w:t>
    </w:r>
    <w:r>
      <w:rPr>
        <w:rFonts w:ascii="Arial" w:hAnsi="Arial" w:eastAsia="MS Gothic"/>
        <w:b w:val="0"/>
        <w:color w:val="6D7A86"/>
        <w:sz w:val="18"/>
      </w:rPr>
      <w:t>VISIQ Academy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