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fill="1F4E79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hAnsi="Arial" w:eastAsia="MS Gothic"/>
                <w:b/>
                <w:color w:val="FFFFFF"/>
                <w:sz w:val="38"/>
              </w:rPr>
              <w:t>VISIQ検定 ルールガイド</w:t>
            </w:r>
          </w:p>
        </w:tc>
      </w:tr>
    </w:tbl>
    <w:p>
      <w:pPr>
        <w:spacing w:before="80" w:after="120"/>
        <w:jc w:val="center"/>
      </w:pPr>
      <w:r>
        <w:rPr>
          <w:rFonts w:ascii="Arial" w:hAnsi="Arial" w:eastAsia="MS Gothic"/>
          <w:b w:val="0"/>
          <w:color w:val="5B6570"/>
          <w:sz w:val="21"/>
        </w:rPr>
        <w:t>定量評価と成長の見える化のための、VISIQ Academy 独自の検定制度です。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fill="F6F8FB"/>
            <w:tcBorders>
              <w:top w:val="single" w:sz="10" w:space="0" w:color="C7D7EA"/>
              <w:left w:val="single" w:sz="10" w:space="0" w:color="C7D7EA"/>
              <w:bottom w:val="single" w:sz="10" w:space="0" w:color="C7D7EA"/>
              <w:right w:val="single" w:sz="10" w:space="0" w:color="C7D7EA"/>
            </w:tcBorders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hAnsi="Arial" w:eastAsia="MS Gothic"/>
                <w:b/>
                <w:color w:val="1F4E79"/>
                <w:sz w:val="21"/>
              </w:rPr>
              <w:t>目的</w:t>
            </w:r>
          </w:p>
          <w:p>
            <w:pPr>
              <w:spacing w:before="0" w:after="40"/>
            </w:pPr>
            <w:r>
              <w:rPr>
                <w:rFonts w:ascii="Arial" w:hAnsi="Arial" w:eastAsia="MS Gothic"/>
                <w:b w:val="0"/>
                <w:sz w:val="19"/>
              </w:rPr>
              <w:t>現在地を可視化し、次の目標を明確にすることで、</w:t>
            </w:r>
            <w:r>
              <w:rPr>
                <w:rFonts w:ascii="Arial" w:hAnsi="Arial" w:eastAsia="MS Gothic"/>
                <w:b/>
                <w:color w:val="C07A00"/>
                <w:sz w:val="19"/>
              </w:rPr>
              <w:t xml:space="preserve"> 学力到達度 </w:t>
            </w:r>
            <w:r>
              <w:rPr>
                <w:rFonts w:ascii="Arial" w:hAnsi="Arial" w:eastAsia="MS Gothic"/>
                <w:b w:val="0"/>
                <w:sz w:val="19"/>
              </w:rPr>
              <w:t>と</w:t>
            </w:r>
            <w:r>
              <w:rPr>
                <w:rFonts w:ascii="Arial" w:hAnsi="Arial" w:eastAsia="MS Gothic"/>
                <w:b/>
                <w:color w:val="C07A00"/>
                <w:sz w:val="19"/>
              </w:rPr>
              <w:t xml:space="preserve"> 自走の成長 </w:t>
            </w:r>
            <w:r>
              <w:rPr>
                <w:rFonts w:ascii="Arial" w:hAnsi="Arial" w:eastAsia="MS Gothic"/>
                <w:b w:val="0"/>
                <w:sz w:val="19"/>
              </w:rPr>
              <w:t>を両輪で育てます。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5102"/>
      </w:tblGrid>
      <w:tr>
        <w:tc>
          <w:tcPr>
            <w:tcW w:type="dxa" w:w="504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after="0" w:before="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46"/>
            </w:tblGrid>
            <w:tr>
              <w:tc>
                <w:tcPr>
                  <w:tcW w:type="dxa" w:w="4762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  <w:shd w:fill="EAF1FB"/>
                </w:tcPr>
                <w:p>
                  <w:pPr>
                    <w:spacing w:after="40" w:before="40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20"/>
                    </w:rPr>
                    <w:t>1. 対象科目</w:t>
                  </w:r>
                </w:p>
              </w:tc>
            </w:tr>
            <w:tr>
              <w:tc>
                <w:tcPr>
                  <w:tcW w:type="dxa" w:w="5046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</w:tcPr>
                <w:p>
                  <w:pPr>
                    <w:spacing w:after="20" w:before="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英語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数学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国語（論理的・説明的読解）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理科・社会は段階的に導入</w:t>
                  </w:r>
                </w:p>
              </w:tc>
            </w:tr>
          </w:tbl>
          <w:p/>
          <w:p>
            <w:pPr>
              <w:spacing w:after="4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46"/>
            </w:tblGrid>
            <w:tr>
              <w:tc>
                <w:tcPr>
                  <w:tcW w:type="dxa" w:w="4762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  <w:shd w:fill="EAF1FB"/>
                </w:tcPr>
                <w:p>
                  <w:pPr>
                    <w:spacing w:after="40" w:before="40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20"/>
                    </w:rPr>
                    <w:t>2. 検定の種類</w:t>
                  </w:r>
                </w:p>
              </w:tc>
            </w:tr>
            <w:tr>
              <w:tc>
                <w:tcPr>
                  <w:tcW w:type="dxa" w:w="5046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</w:tcPr>
                <w:p>
                  <w:pPr>
                    <w:spacing w:after="20" w:before="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3級までは内部検定を実施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準2級以上は外部の正式検定を受検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内部検定は英検・数検等の級に準拠した難易度で運用</w:t>
                  </w:r>
                </w:p>
              </w:tc>
            </w:tr>
          </w:tbl>
          <w:p/>
          <w:p>
            <w:pPr>
              <w:spacing w:after="4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46"/>
            </w:tblGrid>
            <w:tr>
              <w:tc>
                <w:tcPr>
                  <w:tcW w:type="dxa" w:w="4762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  <w:shd w:fill="EAF1FB"/>
                </w:tcPr>
                <w:p>
                  <w:pPr>
                    <w:spacing w:after="40" w:before="40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20"/>
                    </w:rPr>
                    <w:t>3. 合格基準</w:t>
                  </w:r>
                </w:p>
              </w:tc>
            </w:tr>
            <w:tr>
              <w:tc>
                <w:tcPr>
                  <w:tcW w:type="dxa" w:w="5046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</w:tcPr>
                <w:p>
                  <w:pPr>
                    <w:spacing w:after="20" w:before="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出題範囲・制限時間・合格基準は、対象となる外部検定の級に準拠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合否は明確に判定し、曖昧な評価は行いません</w:t>
                  </w:r>
                </w:p>
              </w:tc>
            </w:tr>
          </w:tbl>
          <w:p/>
          <w:p>
            <w:pPr>
              <w:spacing w:after="40"/>
            </w:pPr>
          </w:p>
        </w:tc>
        <w:tc>
          <w:tcPr>
            <w:tcW w:type="dxa" w:w="504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after="0" w:before="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46"/>
            </w:tblGrid>
            <w:tr>
              <w:tc>
                <w:tcPr>
                  <w:tcW w:type="dxa" w:w="4876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  <w:shd w:fill="F9F3E7"/>
                </w:tcPr>
                <w:p>
                  <w:pPr>
                    <w:spacing w:after="40" w:before="40"/>
                  </w:pPr>
                  <w:r>
                    <w:rPr>
                      <w:rFonts w:ascii="Arial" w:hAnsi="Arial" w:eastAsia="MS Gothic"/>
                      <w:b/>
                      <w:color w:val="7A4E00"/>
                      <w:sz w:val="20"/>
                    </w:rPr>
                    <w:t>4. 問題作成ルール</w:t>
                  </w:r>
                </w:p>
              </w:tc>
            </w:tr>
            <w:tr>
              <w:tc>
                <w:tcPr>
                  <w:tcW w:type="dxa" w:w="5046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</w:tcPr>
                <w:p>
                  <w:pPr>
                    <w:spacing w:after="20" w:before="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過去問を参考にした類似問題を使用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数値・条件を変更した応用問題を作成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出題意図を踏まえ、AIで別問題を作成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過去問の無断複製・無断配布は行いません</w:t>
                  </w:r>
                </w:p>
              </w:tc>
            </w:tr>
          </w:tbl>
          <w:p/>
          <w:p>
            <w:pPr>
              <w:spacing w:after="4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46"/>
            </w:tblGrid>
            <w:tr>
              <w:tc>
                <w:tcPr>
                  <w:tcW w:type="dxa" w:w="4876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  <w:shd w:fill="F9F3E7"/>
                </w:tcPr>
                <w:p>
                  <w:pPr>
                    <w:spacing w:after="40" w:before="40"/>
                  </w:pPr>
                  <w:r>
                    <w:rPr>
                      <w:rFonts w:ascii="Arial" w:hAnsi="Arial" w:eastAsia="MS Gothic"/>
                      <w:b/>
                      <w:color w:val="7A4E00"/>
                      <w:sz w:val="20"/>
                    </w:rPr>
                    <w:t>5. 合格証書</w:t>
                  </w:r>
                </w:p>
              </w:tc>
            </w:tr>
            <w:tr>
              <w:tc>
                <w:tcPr>
                  <w:tcW w:type="dxa" w:w="5046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</w:tcPr>
                <w:p>
                  <w:pPr>
                    <w:spacing w:after="20" w:before="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内部検定の合格者には VISIQ Academy 独自の合格証書を発行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記載項目：氏名 / 検定名 / 級 / 合格日 / シリアル番号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努力と成果を形として残します</w:t>
                  </w:r>
                </w:p>
              </w:tc>
            </w:tr>
          </w:tbl>
          <w:p/>
          <w:p>
            <w:pPr>
              <w:spacing w:after="4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46"/>
            </w:tblGrid>
            <w:tr>
              <w:tc>
                <w:tcPr>
                  <w:tcW w:type="dxa" w:w="4876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  <w:shd w:fill="F9F3E7"/>
                </w:tcPr>
                <w:p>
                  <w:pPr>
                    <w:spacing w:after="40" w:before="40"/>
                  </w:pPr>
                  <w:r>
                    <w:rPr>
                      <w:rFonts w:ascii="Arial" w:hAnsi="Arial" w:eastAsia="MS Gothic"/>
                      <w:b/>
                      <w:color w:val="7A4E00"/>
                      <w:sz w:val="20"/>
                    </w:rPr>
                    <w:t>6. ランク制度との連動</w:t>
                  </w:r>
                </w:p>
              </w:tc>
            </w:tr>
            <w:tr>
              <w:tc>
                <w:tcPr>
                  <w:tcW w:type="dxa" w:w="5046"/>
                  <w:tcBorders>
                    <w:top w:val="single" w:sz="10" w:space="0" w:color="D9E2F3"/>
                    <w:left w:val="single" w:sz="10" w:space="0" w:color="D9E2F3"/>
                    <w:bottom w:val="single" w:sz="10" w:space="0" w:color="D9E2F3"/>
                    <w:right w:val="single" w:sz="10" w:space="0" w:color="D9E2F3"/>
                  </w:tcBorders>
                  <w:vAlign w:val="center"/>
                </w:tcPr>
                <w:p>
                  <w:pPr>
                    <w:spacing w:after="20" w:before="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検定合格状況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スタディサプリ進捗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定期テスト・模試等による理解度</w:t>
                  </w:r>
                </w:p>
                <w:p/>
                <w:p>
                  <w:pPr>
                    <w:spacing w:before="0" w:after="20"/>
                    <w:ind w:left="57"/>
                  </w:pPr>
                  <w:r>
                    <w:rPr>
                      <w:rFonts w:ascii="Arial" w:hAnsi="Arial" w:eastAsia="MS Gothic"/>
                      <w:b/>
                      <w:color w:val="1F4E79"/>
                      <w:sz w:val="18"/>
                    </w:rPr>
                    <w:t xml:space="preserve">• </w:t>
                  </w:r>
                  <w:r>
                    <w:rPr>
                      <w:rFonts w:ascii="Arial" w:hAnsi="Arial" w:eastAsia="MS Gothic"/>
                      <w:b w:val="0"/>
                      <w:sz w:val="18"/>
                    </w:rPr>
                    <w:t>継続力・主体性・取り組み姿勢</w:t>
                  </w:r>
                </w:p>
              </w:tc>
            </w:tr>
          </w:tbl>
          <w:p/>
          <w:p>
            <w:pPr>
              <w:spacing w:after="4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855"/>
      </w:tblGrid>
      <w:tr>
        <w:tc>
          <w:tcPr>
            <w:tcW w:type="dxa" w:w="5046"/>
            <w:tcBorders>
              <w:top w:val="single" w:sz="10" w:space="0" w:color="D9E2F3"/>
              <w:left w:val="single" w:sz="10" w:space="0" w:color="D9E2F3"/>
              <w:bottom w:val="single" w:sz="10" w:space="0" w:color="D9E2F3"/>
              <w:right w:val="single" w:sz="10" w:space="0" w:color="D9E2F3"/>
            </w:tcBorders>
            <w:vAlign w:val="center"/>
            <w:shd w:fill="F6F8FB"/>
          </w:tcPr>
          <w:p>
            <w:pPr>
              <w:spacing w:after="20" w:before="40"/>
            </w:pPr>
            <w:r>
              <w:rPr>
                <w:rFonts w:ascii="Arial" w:hAnsi="Arial" w:eastAsia="MS Gothic"/>
                <w:b/>
                <w:color w:val="1F4E79"/>
                <w:sz w:val="21"/>
              </w:rPr>
              <w:t>評価の考え方</w:t>
            </w:r>
          </w:p>
          <w:p>
            <w:pPr>
              <w:spacing w:before="0" w:after="20"/>
            </w:pPr>
            <w:r>
              <w:rPr>
                <w:rFonts w:ascii="Arial" w:hAnsi="Arial" w:eastAsia="MS Gothic"/>
                <w:b w:val="0"/>
                <w:sz w:val="18"/>
              </w:rPr>
              <w:t>「級」= 学力到達度  /  「ランク」= 総合的な成長評価</w:t>
            </w:r>
          </w:p>
          <w:p>
            <w:pPr>
              <w:spacing w:before="0" w:after="40"/>
            </w:pPr>
            <w:r>
              <w:rPr>
                <w:rFonts w:ascii="Arial" w:hAnsi="Arial" w:eastAsia="MS Gothic"/>
                <w:b w:val="0"/>
                <w:color w:val="5B6570"/>
                <w:sz w:val="18"/>
              </w:rPr>
              <w:t>保護者にも、進度・理解度・主体性の変化がひと目で分かる形で共有します。</w:t>
            </w:r>
          </w:p>
        </w:tc>
        <w:tc>
          <w:tcPr>
            <w:tcW w:type="dxa" w:w="5046"/>
            <w:tcBorders>
              <w:top w:val="single" w:sz="10" w:space="0" w:color="D9E2F3"/>
              <w:left w:val="single" w:sz="10" w:space="0" w:color="D9E2F3"/>
              <w:bottom w:val="single" w:sz="10" w:space="0" w:color="D9E2F3"/>
              <w:right w:val="single" w:sz="10" w:space="0" w:color="D9E2F3"/>
            </w:tcBorders>
            <w:vAlign w:val="center"/>
            <w:shd w:fill="FFF6E5"/>
          </w:tcPr>
          <w:p>
            <w:pPr>
              <w:spacing w:after="20" w:before="120"/>
              <w:jc w:val="center"/>
            </w:pPr>
            <w:r>
              <w:rPr>
                <w:rFonts w:ascii="Arial" w:hAnsi="Arial" w:eastAsia="MS Gothic"/>
                <w:b/>
                <w:color w:val="1F4E79"/>
                <w:sz w:val="24"/>
              </w:rPr>
              <w:t>VISIQ Academy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MS Gothic"/>
                <w:b/>
                <w:color w:val="7A4E00"/>
                <w:sz w:val="19"/>
              </w:rPr>
              <w:t>家庭環境に左右されない</w:t>
              <w:br/>
              <w:t>学びの環境を作る</w:t>
            </w:r>
          </w:p>
        </w:tc>
      </w:tr>
    </w:tbl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