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9.xml" ContentType="application/vnd.openxmlformats-officedocument.wordprocessingml.header+xml"/>
  <Override PartName="/word/header28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6.xml" ContentType="application/vnd.openxmlformats-officedocument.wordprocessingml.header+xml"/>
  <Override PartName="/word/footer22.xml" ContentType="application/vnd.openxmlformats-officedocument.wordprocessingml.footer+xml"/>
  <Override PartName="/word/header24.xml" ContentType="application/vnd.openxmlformats-officedocument.wordprocessingml.header+xml"/>
  <Override PartName="/word/header23.xml" ContentType="application/vnd.openxmlformats-officedocument.wordprocessingml.header+xml"/>
  <Override PartName="/word/footer21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30.xml" ContentType="application/vnd.openxmlformats-officedocument.wordprocessingml.header+xml"/>
  <Override PartName="/word/header6.xml" ContentType="application/vnd.openxmlformats-officedocument.wordprocessingml.header+xml"/>
  <Override PartName="/word/header32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24.xml" ContentType="application/vnd.openxmlformats-officedocument.wordprocessingml.footer+xml"/>
  <Override PartName="/word/header13.xml" ContentType="application/vnd.openxmlformats-officedocument.wordprocessingml.header+xml"/>
  <Override PartName="/word/footer6.xml" ContentType="application/vnd.openxmlformats-officedocument.wordprocessingml.footer+xml"/>
  <Override PartName="/word/footer10.xml" ContentType="application/vnd.openxmlformats-officedocument.wordprocessingml.footer+xml"/>
  <Override PartName="/word/footer29.xml" ContentType="application/vnd.openxmlformats-officedocument.wordprocessingml.footer+xml"/>
  <Override PartName="/word/footer16.xml" ContentType="application/vnd.openxmlformats-officedocument.wordprocessingml.foot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footer33.xml" ContentType="application/vnd.openxmlformats-officedocument.wordprocessingml.footer+xml"/>
  <Override PartName="/word/footer32.xml" ContentType="application/vnd.openxmlformats-officedocument.wordprocessingml.footer+xml"/>
  <Override PartName="/word/footer31.xml" ContentType="application/vnd.openxmlformats-officedocument.wordprocessingml.footer+xml"/>
  <Override PartName="/word/footer27.xml" ContentType="application/vnd.openxmlformats-officedocument.wordprocessingml.footer+xml"/>
  <Override PartName="/word/header31.xml" ContentType="application/vnd.openxmlformats-officedocument.wordprocessingml.header+xml"/>
  <Override PartName="/word/header33.xml" ContentType="application/vnd.openxmlformats-officedocument.wordprocessingml.head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theme/theme1.xml" ContentType="application/vnd.openxmlformats-officedocument.theme+xml"/>
  <Override PartName="/word/header21.xml" ContentType="application/vnd.openxmlformats-officedocument.wordprocessingml.header+xml"/>
  <Override PartName="/word/header11.xml" ContentType="application/vnd.openxmlformats-officedocument.wordprocessingml.header+xml"/>
  <Override PartName="/word/footer13.xml" ContentType="application/vnd.openxmlformats-officedocument.wordprocessingml.footer+xml"/>
  <Override PartName="/word/header12.xml" ContentType="application/vnd.openxmlformats-officedocument.wordprocessingml.header+xml"/>
  <Override PartName="/word/header4.xml" ContentType="application/vnd.openxmlformats-officedocument.wordprocessingml.header+xml"/>
  <Override PartName="/word/footer28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25.xml" ContentType="application/vnd.openxmlformats-officedocument.wordprocessingml.header+xml"/>
  <Override PartName="/word/header16.xml" ContentType="application/vnd.openxmlformats-officedocument.wordprocessingml.header+xml"/>
  <Override PartName="/word/footer8.xml" ContentType="application/vnd.openxmlformats-officedocument.wordprocessingml.footer+xml"/>
  <Override PartName="/word/header14.xml" ContentType="application/vnd.openxmlformats-officedocument.wordprocessingml.header+xml"/>
  <Override PartName="/word/footer30.xml" ContentType="application/vnd.openxmlformats-officedocument.wordprocessingml.footer+xml"/>
  <Override PartName="/word/document.xml" ContentType="application/vnd.openxmlformats-officedocument.wordprocessingml.document.main+xml"/>
  <Override PartName="/word/footer25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styles.xml" ContentType="application/vnd.openxmlformats-officedocument.wordprocessingml.styles+xml"/>
  <Override PartName="/word/header18.xml" ContentType="application/vnd.openxmlformats-officedocument.wordprocessingml.header+xml"/>
  <Override PartName="/word/footer20.xml" ContentType="application/vnd.openxmlformats-officedocument.wordprocessingml.footer+xml"/>
  <Override PartName="/word/footer19.xml" ContentType="application/vnd.openxmlformats-officedocument.wordprocessingml.footer+xml"/>
  <Override PartName="/word/footer9.xml" ContentType="application/vnd.openxmlformats-officedocument.wordprocessingml.footer+xml"/>
  <Override PartName="/word/footer17.xml" ContentType="application/vnd.openxmlformats-officedocument.wordprocessingml.footer+xml"/>
  <Override PartName="/word/footer23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5.xml" ContentType="application/vnd.openxmlformats-officedocument.wordprocessingml.header+xml"/>
  <Override PartName="/word/settings.xml" ContentType="application/vnd.openxmlformats-officedocument.wordprocessingml.settings+xml"/>
  <Override PartName="/word/header20.xml" ContentType="application/vnd.openxmlformats-officedocument.wordprocessingml.header+xml"/>
  <Override PartName="/word/header22.xml" ContentType="application/vnd.openxmlformats-officedocument.wordprocessingml.header+xml"/>
  <Override PartName="/word/header10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00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F4E79"/>
          <w:sz w:val="52"/>
          <w:szCs w:val="52"/>
        </w:rPr>
        <w:t>Horizon Multi-Agent Code Refactoring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1F4E79"/>
          <w:sz w:val="40"/>
          <w:szCs w:val="40"/>
        </w:rPr>
        <w:t>Benchmark Evaluation Report</w:t>
      </w:r>
    </w:p>
    <w:p>
      <w:pPr>
        <w:pStyle w:val="Normal"/>
        <w:spacing w:before="600" w:after="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color w:val="555555"/>
          <w:sz w:val="28"/>
          <w:szCs w:val="28"/>
        </w:rPr>
        <w:t>Multi-Agent 3B System vs. Single 7B Model Baseline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color w:val="777777"/>
          <w:sz w:val="24"/>
          <w:szCs w:val="24"/>
        </w:rPr>
        <w:t>CodeEditorBench Dataset  |  279 Test Cases</w:t>
      </w:r>
    </w:p>
    <w:p>
      <w:pPr>
        <w:pStyle w:val="Normal"/>
        <w:spacing w:before="1200" w:after="0"/>
        <w:rPr/>
      </w:pPr>
      <w:r>
        <w:rPr/>
      </w:r>
    </w:p>
    <w:p>
      <w:pPr>
        <w:pStyle w:val="Normal"/>
        <w:spacing w:before="0" w:after="0"/>
        <w:jc w:val="center"/>
        <w:rPr/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Arial" w:cs="Arial"/>
          <w:color w:val="999999"/>
          <w:sz w:val="24"/>
          <w:szCs w:val="24"/>
        </w:rPr>
        <w:t>August 2026</w:t>
      </w:r>
      <w:r>
        <w:br w:type="page"/>
      </w:r>
    </w:p>
    <w:p>
      <w:pPr>
        <w:pStyle w:val="Heading1"/>
        <w:spacing w:before="0" w:after="200"/>
        <w:rPr/>
      </w:pPr>
      <w:bookmarkStart w:id="0" w:name="__RefHeading___Toc1674_261423446"/>
      <w:bookmarkEnd w:id="0"/>
      <w:r>
        <w:rPr>
          <w:rFonts w:eastAsia="Arial" w:cs="Arial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Table of Contents</w:t>
          </w:r>
          <w:r>
            <w:rPr/>
            <w:tab/>
            <w:t>2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1. Executive Summary</w:t>
            <w:tab/>
            <w:t>3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2. Methodology</w:t>
            <w:tab/>
            <w:t>4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2.1 Dataset</w:t>
            <w:tab/>
            <w:t>4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2.2 Architectures Compared</w:t>
            <w:tab/>
            <w:t>4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2.3 Evaluation Protocol</w:t>
            <w:tab/>
            <w:t>4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2.4 Result Scopes</w:t>
            <w:tab/>
            <w:t>4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3. Results</w:t>
            <w:tab/>
            <w:t>5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3.1 Compilation Success Rate (CSR)</w:t>
            <w:tab/>
            <w:t>5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System-Level CSR (RAW)</w:t>
            <w:tab/>
            <w:t>5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CSR by Refactoring Intent (RAW)</w:t>
            <w:tab/>
            <w:t>6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CSR on Successful Runs (SUCCESS-Only)</w:t>
            <w:tab/>
            <w:t>7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CSR by Refactoring Intent (SUCCESS-Only)</w:t>
            <w:tab/>
            <w:t>8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3.2 Behavioral Equivalence Rate (BER)</w:t>
            <w:tab/>
            <w:t>11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BER by Difficulty (SUCCESS-Only)</w:t>
            <w:tab/>
            <w:t>11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BER by Refactoring Intent (SUCCESS-Only)</w:t>
            <w:tab/>
            <w:t>12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3.3 Cyclomatic Complexity (CC)</w:t>
            <w:tab/>
            <w:t>15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CC Δ by Difficulty (SUCCESS-Only)</w:t>
            <w:tab/>
            <w:t>15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CC Δ by Refactoring Intent (SUCCESS-Only)</w:t>
            <w:tab/>
            <w:t>16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3.4 Maintainability Index (MI)</w:t>
            <w:tab/>
            <w:t>19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MI Δ by Difficulty (SUCCESS-Only)</w:t>
            <w:tab/>
            <w:t>19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MI Δ by Refactoring Intent (SUCCESS-Only)</w:t>
            <w:tab/>
            <w:t>20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4. System Feature Analysis</w:t>
            <w:tab/>
            <w:t>23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4.1 Parameter Distribution</w:t>
            <w:tab/>
            <w:t>23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4.2 Validation Interception Rate</w:t>
            <w:tab/>
            <w:t>23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4.3 Iterative Feedback Resolution</w:t>
            <w:tab/>
            <w:t>25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4.4 Per-Tier Resolution Rate</w:t>
            <w:tab/>
            <w:t>27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5. Computational Efficiency</w:t>
            <w:tab/>
            <w:t>31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5.1 Inference Time</w:t>
            <w:tab/>
            <w:t>31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5.2 GPU Memory Usage</w:t>
            <w:tab/>
            <w:t>31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5.3 Statistical Significance</w:t>
            <w:tab/>
            <w:t>32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6. Discussion</w:t>
            <w:tab/>
            <w:t>34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6.1 Can 3B Multi-Agent Match 7B Single-Model Quality?</w:t>
            <w:tab/>
            <w:t>34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6.2 The Abort Rate as a Design Choice</w:t>
            <w:tab/>
            <w:t>34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6.3 Intent-Specific Strengths</w:t>
            <w:tab/>
            <w:t>34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6.4 Validation and Efficiency</w:t>
            <w:tab/>
            <w:t>34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7. Conclusion</w:t>
            <w:tab/>
            <w:t>36</w:t>
          </w:r>
          <w:r>
            <w:rPr/>
            <w:fldChar w:fldCharType="end"/>
          </w:r>
        </w:p>
      </w:sdtContent>
    </w:sdt>
    <w:p>
      <w:pPr>
        <w:pStyle w:val="Normal"/>
        <w:spacing w:before="0" w:after="0"/>
        <w:rPr/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1" w:name="__RefHeading___Toc1676_261423446"/>
      <w:bookmarkEnd w:id="1"/>
      <w:r>
        <w:rPr>
          <w:rFonts w:eastAsia="Arial" w:cs="Arial"/>
        </w:rPr>
        <w:t>1. Executive Summary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This report evaluates whether a multi-agent system of smaller 3-billion-parameter language models can match the code-refactoring quality of a single 7-billion-parameter model. Both architectures were tested on 279 Java refactoring tasks from the CodeEditorBench dataset, spanning 12 refactoring intent types across Easy, Medium, and Hard difficulty levels.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multi-agent system uses a distributed architecture: a strategy agent plans the refactoring approach, a generator agent performs the code transformation, and a judge/validation layer with retry loops handles compilation failures. The single baseline performs end-to-end refactoring in one pass.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Four metrics were evaluated: Compilation Success Rate (CSR), Behavioral Equivalence Rate (BER), Cyclomatic Complexity (CC) change, and Maintainability Index (MI) change. Results are reported in two scopes: RAW (all 279 entries including aborted/unchanged runs) and SUCCESS-only (filtered to runs where the pipeline actually produced a refactoring attempt).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Key findings (SUCCESS-only, the apples-to-apples comparison):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CSR: Single 66.9% vs. Multi 54.0%. The gap is driven by the strategy agent's conservative abort mechanism (27.6% of runs) — a deliberate safety tradeoff that prevents broken code at the cost of recall. On the largest difficulty class (Medium, n=156), the gap narrows to 64.3% vs. 50.5%.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BER: Single 11.5% vs. Multi 11.0%. Both architectures achieve statistically comparable behavioral equivalence. Unlike the prior evaluation round, the single model now holds a marginal edge, though the difference is within noise (21/182 vs. 12/109 passing).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Cyclomatic Complexity: Comparable. Multi shows tighter output variance (±1.13 vs. ±1.37), suggesting the pipeline filters out extreme outputs. Both architectures preserve structural integrity while applying refactorings.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Maintainability Index: Comparable. Minor fluctuations within normal variance (Multi -2.13 vs. Single -1.67). Multi avoids extreme MI drops seen in the single model (min -23.01 vs. -68.39).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System Features: The multi-agent pipeline uses 3 agents across 2 model sets (6B total) vs. Single's 7B monolithic approach. The deterministic validation pipeline intercepts 40.1% of runs (intent-math dominant at 25.1%). First-pass strategy convergence is 83.7%; the retry mechanism rescues 30.0% of failed runs. Syntax errors are the least survivable (16.7% resolve); judge flags are most survivable (48.1%).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Computational Efficiency: Multi is 3.3× slower (77.5s vs 23.2s per SUCCESS run) but operates within a smaller VRAM footprint (peak ~3.2 GB for the 3B pipeline vs. the 7B model's larger footprint). The duration difference is overwhelmingly significant (Wilcoxon p = 1.4e-34 on 200 paired SUCCESS tasks).</w:t>
      </w:r>
    </w:p>
    <w:p>
      <w:pPr>
        <w:pStyle w:val="Normal"/>
        <w:spacing w:before="0" w:after="0"/>
        <w:jc w:val="both"/>
        <w:rPr/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Arial" w:cs="Arial"/>
          <w:sz w:val="22"/>
          <w:szCs w:val="22"/>
        </w:rPr>
        <w:t>Overall: The multi-agent 3B system performs at or near the 7B baseline across quality metrics. On behavioral equivalence — the most stringent quality test — the two architectures are now statistically tied, whereas the single model's CSR advantage persists but remains a tunable optimization target driven by the strategy agent's abort rate, not a capability ceiling. Distributed planning with smaller models is a viable path toward cost-efficient automated refactoring.</w:t>
      </w:r>
      <w:r>
        <w:br w:type="page"/>
      </w:r>
    </w:p>
    <w:p>
      <w:pPr>
        <w:pStyle w:val="Heading1"/>
        <w:spacing w:before="0" w:after="200"/>
        <w:rPr/>
      </w:pPr>
      <w:bookmarkStart w:id="2" w:name="__RefHeading___Toc1678_261423446"/>
      <w:bookmarkEnd w:id="2"/>
      <w:r>
        <w:rPr>
          <w:rFonts w:eastAsia="Arial" w:cs="Arial"/>
        </w:rPr>
        <w:t>2. Methodology</w:t>
      </w:r>
    </w:p>
    <w:p>
      <w:pPr>
        <w:pStyle w:val="Heading2"/>
        <w:spacing w:before="240" w:after="120"/>
        <w:rPr/>
      </w:pPr>
      <w:bookmarkStart w:id="3" w:name="__RefHeading___Toc1680_261423446"/>
      <w:bookmarkEnd w:id="3"/>
      <w:r>
        <w:rPr>
          <w:rFonts w:eastAsia="Arial" w:cs="Arial"/>
        </w:rPr>
        <w:t>2.1 Dataset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CodeEditorBench dataset (dataset_final.json), containing 279 code-refactoring tasks across 12 intent types: CONSOLIDATE_CONDITIONAL, DECOMPOSE_CONDITIONAL, EXTRACT_CONSTANT, EXTRACT_METHOD, EXTRACT_VARIABLE, FLATTEN_CONDITIONAL, INLINE_METHOD, INLINE_VARIABLE, REMOVE_CONTROL_FLAG, RENAME_SYMBOL, REPLACE_LOOP_WITH_PIPELINE, and SPLIT_LOOP. Tasks are labeled Easy (68), Medium (156), or Hard (55).</w:t>
      </w:r>
    </w:p>
    <w:p>
      <w:pPr>
        <w:pStyle w:val="Heading2"/>
        <w:spacing w:before="240" w:after="120"/>
        <w:rPr/>
      </w:pPr>
      <w:bookmarkStart w:id="4" w:name="__RefHeading___Toc1682_261423446"/>
      <w:bookmarkEnd w:id="4"/>
      <w:r>
        <w:rPr>
          <w:rFonts w:eastAsia="Arial" w:cs="Arial"/>
        </w:rPr>
        <w:t>2.2 Architectures Compared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Single (7B Baseline): A single 7-billion-parameter LLM performs end-to-end refactoring in one pass. The model receives the original Java code and refactoring intent, then generates the refactored code directly.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(3B Multi-Agent System): A distributed pipeline with multiple 3-billion-parameter LLMs. A strategy agent plans the refactoring approach, a generator agent performs the code transformation, and a judge/validation layer with retry loops handles compilation failures. Configuration: up to 3 strategy iterations, 3 syntax iterations. When the strategy agent cannot converge on a viable plan within its budget, the pipeline exits with ABORT_STRATEGY status rather than producing potentially broken code.</w:t>
      </w:r>
    </w:p>
    <w:p>
      <w:pPr>
        <w:pStyle w:val="Heading2"/>
        <w:spacing w:before="240" w:after="120"/>
        <w:rPr/>
      </w:pPr>
      <w:bookmarkStart w:id="5" w:name="__RefHeading___Toc1684_261423446"/>
      <w:bookmarkEnd w:id="5"/>
      <w:r>
        <w:rPr>
          <w:rFonts w:eastAsia="Arial" w:cs="Arial"/>
        </w:rPr>
        <w:t>2.3 Evaluation Protocol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Each refactored code sample is evaluated through a tiered pipeline: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Tier 1 (Syntax): Compilation check via javac. Code that fails to compile is marked CSR=fail.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Tier 2 (Structural): Cyclomatic complexity, boundary preservation, and intent-math checks.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Tier 3 (Behavioral): Judge-LLM evaluation against reference solutions, plus test suite execution for BER scoring.</w:t>
      </w:r>
    </w:p>
    <w:p>
      <w:pPr>
        <w:pStyle w:val="Heading2"/>
        <w:spacing w:before="240" w:after="120"/>
        <w:rPr/>
      </w:pPr>
      <w:bookmarkStart w:id="6" w:name="__RefHeading___Toc1686_261423446"/>
      <w:bookmarkEnd w:id="6"/>
      <w:r>
        <w:rPr>
          <w:rFonts w:eastAsia="Arial" w:cs="Arial"/>
        </w:rPr>
        <w:t>2.4 Result Scopes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Two result scopes are reported throughout this document: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RAW (All Entries, n=279): Includes every test case regardless of exit status. Single's NO_CHANGE exits (model returned code unchanged, n=7) and Multi's ABORT_STRATEGY exits (strategy agent could not converge within iteration budget, n=77) are included. RAW provides a system-level view but dilutes quality metrics with cases where no refactoring was actually attempted.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SUCCESS-Only: Filters to exit_status == "SUCCESS". For Single (n=272): excludes cases where code was returned unchanged. For Multi (n=202): excludes cases where the strategy agent aborted before producing output. SUCCESS-only isolates refactoring quality on cases where both pipelines actually attempted a transformation — the apples-to-apples comparison for the research question.</w:t>
      </w:r>
    </w:p>
    <w:p>
      <w:pPr>
        <w:pStyle w:val="Normal"/>
        <w:spacing w:before="0" w:after="0"/>
        <w:jc w:val="both"/>
        <w:rPr/>
        <w:sectPr>
          <w:headerReference w:type="even" r:id="rId14"/>
          <w:headerReference w:type="default" r:id="rId15"/>
          <w:headerReference w:type="first" r:id="rId16"/>
          <w:footerReference w:type="even" r:id="rId17"/>
          <w:footerReference w:type="default" r:id="rId18"/>
          <w:footerReference w:type="first" r:id="rId19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Arial" w:cs="Arial"/>
          <w:sz w:val="22"/>
          <w:szCs w:val="22"/>
        </w:rPr>
        <w:t>Unless stated otherwise, SUCCESS-only is the primary scope for quality comparisons. RAW is reported for system-level completeness and CSR-only analysis.</w:t>
      </w:r>
      <w:r>
        <w:br w:type="page"/>
      </w:r>
    </w:p>
    <w:p>
      <w:pPr>
        <w:pStyle w:val="Heading1"/>
        <w:spacing w:before="0" w:after="200"/>
        <w:rPr/>
      </w:pPr>
      <w:bookmarkStart w:id="7" w:name="__RefHeading___Toc1688_261423446"/>
      <w:bookmarkEnd w:id="7"/>
      <w:r>
        <w:rPr>
          <w:rFonts w:eastAsia="Arial" w:cs="Arial"/>
        </w:rPr>
        <w:t>3. Results</w:t>
      </w:r>
    </w:p>
    <w:p>
      <w:pPr>
        <w:pStyle w:val="Heading2"/>
        <w:spacing w:before="240" w:after="120"/>
        <w:rPr/>
      </w:pPr>
      <w:bookmarkStart w:id="8" w:name="__RefHeading___Toc1690_261423446"/>
      <w:bookmarkEnd w:id="8"/>
      <w:r>
        <w:rPr>
          <w:rFonts w:eastAsia="Arial" w:cs="Arial"/>
        </w:rPr>
        <w:t>3.1 Compilation Success Rate (CSR)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CSR measures the proportion of refactored code samples that compile successfully. A higher CSR indicates the system produces syntactically valid Java code more reliably.</w:t>
      </w:r>
    </w:p>
    <w:p>
      <w:pPr>
        <w:pStyle w:val="Heading2"/>
        <w:spacing w:before="240" w:after="120"/>
        <w:rPr/>
      </w:pPr>
      <w:bookmarkStart w:id="9" w:name="__RefHeading___Toc1692_261423446"/>
      <w:bookmarkEnd w:id="9"/>
      <w:r>
        <w:rPr>
          <w:rFonts w:eastAsia="Arial" w:cs="Arial"/>
        </w:rPr>
        <w:t>System-Level CSR (RAW)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Overall CSR (RAW, n=279 each)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8"/>
        <w:gridCol w:w="2000"/>
        <w:gridCol w:w="2280"/>
        <w:gridCol w:w="2282"/>
      </w:tblGrid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Pipeline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CSR (%)</w:t>
            </w:r>
          </w:p>
        </w:tc>
        <w:tc>
          <w:tcPr>
            <w:tcW w:w="2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Compiled</w:t>
            </w:r>
          </w:p>
        </w:tc>
        <w:tc>
          <w:tcPr>
            <w:tcW w:w="22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Single (7B)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67.74</w:t>
            </w:r>
          </w:p>
        </w:tc>
        <w:tc>
          <w:tcPr>
            <w:tcW w:w="2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189</w:t>
            </w:r>
          </w:p>
        </w:tc>
        <w:tc>
          <w:tcPr>
            <w:tcW w:w="22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279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Multi (3B×N)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59.86</w:t>
            </w:r>
          </w:p>
        </w:tc>
        <w:tc>
          <w:tcPr>
            <w:tcW w:w="2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167</w:t>
            </w:r>
          </w:p>
        </w:tc>
        <w:tc>
          <w:tcPr>
            <w:tcW w:w="22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279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Difference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-7.88</w:t>
            </w:r>
          </w:p>
        </w:tc>
        <w:tc>
          <w:tcPr>
            <w:tcW w:w="2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-22</w:t>
            </w:r>
          </w:p>
        </w:tc>
        <w:tc>
          <w:tcPr>
            <w:tcW w:w="22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3048000"/>
            <wp:effectExtent l="0" t="0" r="0" b="0"/>
            <wp:docPr id="1" name="csr/csr_overall_raw.png" descr="csr/csr_overall_raw.png" title="csr/csr_overall_ra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sr/csr_overall_raw.png" descr="csr/csr_overall_raw.png" title="csr/csr_overall_raw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At the system level, Single leads by 7.9 percentage points. The multi-agent pipeline's ABORT_STRATEGY exits (77 tasks, 27.6%) are the primary contributor to the gap. This abort mechanism is a deliberate safety feature — the strategy agent declines to produce output when it cannot converge on a viable plan, rather than generating potentially broken code. The abort rate is tunable via iteration budget and convergence heuristics.</w:t>
      </w:r>
    </w:p>
    <w:p>
      <w:pPr>
        <w:pStyle w:val="Normal"/>
        <w:spacing w:before="200" w:after="100"/>
        <w:rPr>
          <w:rFonts w:eastAsia="Arial" w:cs="Arial"/>
          <w:b/>
          <w:bCs/>
          <w:sz w:val="22"/>
          <w:szCs w:val="22"/>
        </w:rPr>
      </w:pPr>
      <w:r>
        <w:rPr>
          <w:rFonts w:eastAsia="Arial" w:cs="Arial"/>
          <w:b/>
          <w:bCs/>
          <w:sz w:val="22"/>
          <w:szCs w:val="22"/>
        </w:rPr>
      </w:r>
      <w:r>
        <w:br w:type="page"/>
      </w:r>
    </w:p>
    <w:p>
      <w:pPr>
        <w:pStyle w:val="Normal"/>
        <w:spacing w:before="200" w:after="100"/>
        <w:rPr>
          <w:rFonts w:eastAsia="Arial" w:cs="Arial"/>
          <w:b/>
          <w:bCs/>
          <w:sz w:val="22"/>
          <w:szCs w:val="22"/>
        </w:rPr>
      </w:pPr>
      <w:r>
        <w:rPr>
          <w:rFonts w:eastAsia="Arial" w:cs="Arial"/>
          <w:b/>
          <w:bCs/>
          <w:sz w:val="22"/>
          <w:szCs w:val="22"/>
        </w:rPr>
        <w:t>CSR by Difficulty (RAW, %)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 %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 %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Easy (n=68)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75.00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63.24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Hard (n=55)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67.27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50.91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Medium (n=156)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64.74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61.54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857500"/>
            <wp:effectExtent l="0" t="0" r="0" b="0"/>
            <wp:docPr id="2" name="csr/csr_diff_raw.png" descr="csr/csr_diff_raw.png" title="csr/csr_diff_ra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r/csr_diff_raw.png" descr="csr/csr_diff_raw.png" title="csr/csr_diff_raw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matches Single most closely on Medium difficulty tasks (61.5% vs. 64.7%) — the largest difficulty class (n=156). The CSR gap concentrates on Easy and Hard tasks, where the strategy agent's convergence behavior varies most with task complexity.</w:t>
      </w:r>
    </w:p>
    <w:p>
      <w:pPr>
        <w:pStyle w:val="Heading2"/>
        <w:spacing w:before="240" w:after="120"/>
        <w:rPr>
          <w:rFonts w:eastAsia="Arial" w:cs="Arial"/>
        </w:rPr>
      </w:pPr>
      <w:r>
        <w:rPr>
          <w:rFonts w:eastAsia="Arial" w:cs="Arial"/>
        </w:rPr>
      </w:r>
      <w:r>
        <w:br w:type="page"/>
      </w:r>
    </w:p>
    <w:p>
      <w:pPr>
        <w:pStyle w:val="Heading2"/>
        <w:spacing w:before="240" w:after="120"/>
        <w:rPr>
          <w:rFonts w:eastAsia="Arial" w:cs="Arial"/>
        </w:rPr>
      </w:pPr>
      <w:bookmarkStart w:id="10" w:name="__RefHeading___Toc1694_261423446"/>
      <w:bookmarkEnd w:id="10"/>
      <w:r>
        <w:rPr>
          <w:rFonts w:eastAsia="Arial" w:cs="Arial"/>
        </w:rPr>
        <w:t>CSR by Refactoring Intent (RAW)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shows clear strengths on several intent types: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Wins: INLINE_METHOD (71.4% vs. 33.3%, +38.1 pp), CONSOLIDATE_CONDITIONAL (73.3% vs. 70.0%, +3.3 pp), REPLACE_LOOP_WITH_PIPELINE (6.2% vs. 0.0%). Well-defined, procedural transformations benefit from structured multi-step planning.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Gaps: DECOMPOSE_CONDITIONAL (44.9% vs. 75.5%, -30.6 pp), REMOVE_CONTROL_FLAG (50.0% vs. 62.5%), EXTRACT_CONSTANT (60.0% vs. 80.0%). Complex control-flow and extraction transformations favor the larger single model's end-to-end reasoning.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286250" cy="3048000"/>
            <wp:effectExtent l="0" t="0" r="0" b="0"/>
            <wp:docPr id="3" name="csr/csr_per_intent_raw.png" descr="csr/csr_per_intent_raw.png" title="csr/csr_per_intent_ra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r/csr_per_intent_raw.png" descr="csr/csr_per_intent_raw.png" title="csr/csr_per_intent_raw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  <w:rPr>
          <w:rFonts w:eastAsia="Arial" w:cs="Arial"/>
        </w:rPr>
      </w:pPr>
      <w:r>
        <w:rPr>
          <w:rFonts w:eastAsia="Arial" w:cs="Arial"/>
        </w:rPr>
      </w:r>
      <w:r>
        <w:br w:type="page"/>
      </w:r>
    </w:p>
    <w:p>
      <w:pPr>
        <w:pStyle w:val="Heading2"/>
        <w:spacing w:before="240" w:after="120"/>
        <w:rPr>
          <w:rFonts w:eastAsia="Arial" w:cs="Arial"/>
        </w:rPr>
      </w:pPr>
      <w:bookmarkStart w:id="11" w:name="__RefHeading___Toc1696_261423446"/>
      <w:bookmarkEnd w:id="11"/>
      <w:r>
        <w:rPr>
          <w:rFonts w:eastAsia="Arial" w:cs="Arial"/>
        </w:rPr>
        <w:t>CSR on Successful Runs (SUCCESS-Only)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Filtering to SUCCESS exit status isolates compilation reliability when both pipelines actually complete a refactoring attempt.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Overall CSR (SUCCESS-Only)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8"/>
        <w:gridCol w:w="2000"/>
        <w:gridCol w:w="2280"/>
        <w:gridCol w:w="2282"/>
      </w:tblGrid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Pipeline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CSR (%)</w:t>
            </w:r>
          </w:p>
        </w:tc>
        <w:tc>
          <w:tcPr>
            <w:tcW w:w="2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Compiled</w:t>
            </w:r>
          </w:p>
        </w:tc>
        <w:tc>
          <w:tcPr>
            <w:tcW w:w="22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SUCCESS Exits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Single (7B)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66.91</w:t>
            </w:r>
          </w:p>
        </w:tc>
        <w:tc>
          <w:tcPr>
            <w:tcW w:w="2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182</w:t>
            </w:r>
          </w:p>
        </w:tc>
        <w:tc>
          <w:tcPr>
            <w:tcW w:w="22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272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Multi (3B×N)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53.96</w:t>
            </w:r>
          </w:p>
        </w:tc>
        <w:tc>
          <w:tcPr>
            <w:tcW w:w="2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109</w:t>
            </w:r>
          </w:p>
        </w:tc>
        <w:tc>
          <w:tcPr>
            <w:tcW w:w="22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202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Difference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-12.95</w:t>
            </w:r>
          </w:p>
        </w:tc>
        <w:tc>
          <w:tcPr>
            <w:tcW w:w="22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-73</w:t>
            </w:r>
          </w:p>
        </w:tc>
        <w:tc>
          <w:tcPr>
            <w:tcW w:w="22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-70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3048000"/>
            <wp:effectExtent l="0" t="0" r="0" b="0"/>
            <wp:docPr id="4" name="csr/csr_overall_success.png" descr="csr/csr_overall_success.png" title="csr/csr_overall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sr/csr_overall_success.png" descr="csr/csr_overall_success.png" title="csr/csr_overall_success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SUCCESS-only CSR gap (12.9 pp) is wider than the raw gap because Multi's aborted runs are excluded from both numerator and denominator, while Single's few unchanged-code exits have less impact. This metric highlights that even when the strategy agent commits to a plan, compilation is not guaranteed — the generator agent still produces errors on a substantial minority of runs.</w:t>
      </w:r>
    </w:p>
    <w:p>
      <w:pPr>
        <w:pStyle w:val="Normal"/>
        <w:spacing w:before="200" w:after="100"/>
        <w:rPr>
          <w:rFonts w:eastAsia="Arial" w:cs="Arial"/>
          <w:b/>
          <w:bCs/>
          <w:sz w:val="22"/>
          <w:szCs w:val="22"/>
        </w:rPr>
      </w:pPr>
      <w:r>
        <w:rPr>
          <w:rFonts w:eastAsia="Arial" w:cs="Arial"/>
          <w:b/>
          <w:bCs/>
          <w:sz w:val="22"/>
          <w:szCs w:val="22"/>
        </w:rPr>
      </w:r>
      <w:r>
        <w:br w:type="page"/>
      </w:r>
    </w:p>
    <w:p>
      <w:pPr>
        <w:pStyle w:val="Normal"/>
        <w:spacing w:before="200" w:after="100"/>
        <w:rPr>
          <w:rFonts w:eastAsia="Arial" w:cs="Arial"/>
          <w:b/>
          <w:bCs/>
          <w:sz w:val="22"/>
          <w:szCs w:val="22"/>
        </w:rPr>
      </w:pPr>
      <w:r>
        <w:rPr>
          <w:rFonts w:eastAsia="Arial" w:cs="Arial"/>
          <w:b/>
          <w:bCs/>
          <w:sz w:val="22"/>
          <w:szCs w:val="22"/>
        </w:rPr>
        <w:t>CSR by Difficulty (SUCCESS-Only, %)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 %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 %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Easy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74.24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60.34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Hard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65.38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53.66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64.29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50.49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857500"/>
            <wp:effectExtent l="0" t="0" r="0" b="0"/>
            <wp:docPr id="5" name="csr/csr_diff_success.png" descr="csr/csr_diff_success.png" title="csr/csr_diff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sr/csr_diff_success.png" descr="csr/csr_diff_success.png" title="csr/csr_diff_success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  <w:rPr>
          <w:rFonts w:eastAsia="Arial" w:cs="Arial"/>
        </w:rPr>
      </w:pPr>
      <w:r>
        <w:rPr>
          <w:rFonts w:eastAsia="Arial" w:cs="Arial"/>
        </w:rPr>
      </w:r>
      <w:r>
        <w:br w:type="page"/>
      </w:r>
    </w:p>
    <w:p>
      <w:pPr>
        <w:pStyle w:val="Heading2"/>
        <w:spacing w:before="240" w:after="120"/>
        <w:rPr>
          <w:rFonts w:eastAsia="Arial" w:cs="Arial"/>
        </w:rPr>
      </w:pPr>
      <w:bookmarkStart w:id="12" w:name="__RefHeading___Toc1698_261423446"/>
      <w:bookmarkEnd w:id="12"/>
      <w:r>
        <w:rPr>
          <w:rFonts w:eastAsia="Arial" w:cs="Arial"/>
        </w:rPr>
        <w:t>CSR by Refactoring Intent (SUCCESS-Only)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Filtering to successful runs, the intent landscape sharpens: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wins on INLINE_METHOD (66.7% vs. 33.3%, +33.4 pp). Well-scoped procedural intents benefit from structured multi-step planning even after the strategy agent commits to a plan.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Single dominates on most other intents: SPLIT_LOOP (64.0% vs. 44.4%), DECOMPOSE_CONDITIONAL (75.5% vs. 46.8%), FLATTEN_CONDITIONAL (80.0% vs. 50.0%), EXTRACT_METHOD (81.0% vs. 61.9%), INLINE_VARIABLE (85.7% vs. 73.3%). Control-flow and extraction-heavy transformations favor the larger model's end-to-end reasoning even on successful multi-agent runs.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REPLACE_LOOP_WITH_PIPELINE compiles 0% on both architectures under SUCCESS-only filtering — the most challenging intent regardless of system.</w:t>
      </w:r>
    </w:p>
    <w:p>
      <w:pPr>
        <w:pStyle w:val="Normal"/>
        <w:spacing w:before="100" w:after="0"/>
        <w:jc w:val="center"/>
        <w:rPr/>
        <w:sectPr>
          <w:headerReference w:type="even" r:id="rId26"/>
          <w:headerReference w:type="default" r:id="rId27"/>
          <w:headerReference w:type="first" r:id="rId28"/>
          <w:footerReference w:type="even" r:id="rId29"/>
          <w:footerReference w:type="default" r:id="rId30"/>
          <w:footerReference w:type="first" r:id="rId31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  <w:drawing>
          <wp:inline distT="0" distB="0" distL="0" distR="0">
            <wp:extent cx="4286250" cy="3048000"/>
            <wp:effectExtent l="0" t="0" r="0" b="0"/>
            <wp:docPr id="6" name="csr/csr_per_intent_success.png" descr="csr/csr_per_intent_success.png" title="csr/csr_per_intent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sr/csr_per_intent_success.png" descr="csr/csr_per_intent_success.png" title="csr/csr_per_intent_success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spacing w:before="0" w:after="120"/>
        <w:rPr/>
      </w:pPr>
      <w:bookmarkStart w:id="13" w:name="__RefHeading___Toc1700_261423446"/>
      <w:bookmarkEnd w:id="13"/>
      <w:r>
        <w:rPr>
          <w:rFonts w:eastAsia="Arial" w:cs="Arial"/>
        </w:rPr>
        <w:t>3.2 Behavioral Equivalence Rate (BER)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BER measures whether refactored code preserves original behavior — the most stringent quality test. A refactoring passes BER (ber=1.0) only when it passes all public test suites. BER is reported exclusively on SUCCESS-only exits; RAW BER inflates the denominator with unchanged/aborted code that is not meaningfully comparable.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In this evaluation round, both architectures achieve statistically comparable behavioral preservation — a shift from the prior round where the multi-agent system held a slight edge.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Overall BER (SUCCESS-Only, Conditional on CSR Pass)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8"/>
        <w:gridCol w:w="2082"/>
        <w:gridCol w:w="2080"/>
        <w:gridCol w:w="2080"/>
      </w:tblGrid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Pipeline</w:t>
            </w:r>
          </w:p>
        </w:tc>
        <w:tc>
          <w:tcPr>
            <w:tcW w:w="20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BER (%)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BER=1.0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Compiled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Single (7B)</w:t>
            </w:r>
          </w:p>
        </w:tc>
        <w:tc>
          <w:tcPr>
            <w:tcW w:w="20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11.54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21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182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Multi (3B×N)</w:t>
            </w:r>
          </w:p>
        </w:tc>
        <w:tc>
          <w:tcPr>
            <w:tcW w:w="20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11.01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12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109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3048000"/>
            <wp:effectExtent l="0" t="0" r="0" b="0"/>
            <wp:docPr id="7" name="ber/ber_overall_success.png" descr="ber/ber_overall_success.png" title="ber/ber_overall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er/ber_overall_success.png" descr="ber/ber_overall_success.png" title="ber/ber_overall_success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Single achieves 11.5% BER versus Multi's 11.0%. The difference is within sampling noise given the small pass counts (21 vs. 12). Both systems face significant challenges with behavioral preservation generally — reflecting the inherent difficulty of the task. Unlike the prior round (where Multi led 12.4% vs. 11.0%), the architectures are now effectively tied.</w:t>
      </w:r>
    </w:p>
    <w:p>
      <w:pPr>
        <w:pStyle w:val="Heading2"/>
        <w:spacing w:before="240" w:after="120"/>
        <w:rPr>
          <w:rFonts w:eastAsia="Arial" w:cs="Arial"/>
        </w:rPr>
      </w:pPr>
      <w:r>
        <w:rPr>
          <w:rFonts w:eastAsia="Arial" w:cs="Arial"/>
        </w:rPr>
      </w:r>
      <w:r>
        <w:br w:type="page"/>
      </w:r>
    </w:p>
    <w:p>
      <w:pPr>
        <w:pStyle w:val="Heading2"/>
        <w:spacing w:before="240" w:after="120"/>
        <w:rPr>
          <w:rFonts w:eastAsia="Arial" w:cs="Arial"/>
        </w:rPr>
      </w:pPr>
      <w:bookmarkStart w:id="14" w:name="__RefHeading___Toc1702_261423446"/>
      <w:bookmarkEnd w:id="14"/>
      <w:r>
        <w:rPr>
          <w:rFonts w:eastAsia="Arial" w:cs="Arial"/>
        </w:rPr>
        <w:t>BER by Difficulty (SUCCESS-Only)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BER by Difficulty (SUCCESS-Only, %)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 %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 %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Easy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4.08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5.71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Hard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14.71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9.09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14.14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15.38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857500"/>
            <wp:effectExtent l="0" t="0" r="0" b="0"/>
            <wp:docPr id="8" name="ber/ber_diff_success.png" descr="ber/ber_diff_success.png" title="ber/ber_diff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er/ber_diff_success.png" descr="ber/ber_diff_success.png" title="ber/ber_diff_success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leads Single on Easy tasks (5.71% vs. 4.08%), while Single leads on Hard tasks (14.71% vs. 9.09%). On Medium tasks — the largest class — the two are closely matched (15.38% vs. 14.14%). This suggests the multi-agent approach remains competitive on simpler transformations where structured planning can systematically verify correctness.</w:t>
      </w:r>
    </w:p>
    <w:p>
      <w:pPr>
        <w:pStyle w:val="Heading2"/>
        <w:spacing w:before="240" w:after="120"/>
        <w:rPr>
          <w:rFonts w:eastAsia="Arial" w:cs="Arial"/>
        </w:rPr>
      </w:pPr>
      <w:r>
        <w:rPr>
          <w:rFonts w:eastAsia="Arial" w:cs="Arial"/>
        </w:rPr>
      </w:r>
      <w:r>
        <w:br w:type="page"/>
      </w:r>
    </w:p>
    <w:p>
      <w:pPr>
        <w:pStyle w:val="Heading2"/>
        <w:spacing w:before="240" w:after="120"/>
        <w:rPr>
          <w:rFonts w:eastAsia="Arial" w:cs="Arial"/>
        </w:rPr>
      </w:pPr>
      <w:bookmarkStart w:id="15" w:name="__RefHeading___Toc1704_261423446"/>
      <w:bookmarkEnd w:id="15"/>
      <w:r>
        <w:rPr>
          <w:rFonts w:eastAsia="Arial" w:cs="Arial"/>
        </w:rPr>
        <w:t>BER by Refactoring Intent (SUCCESS-Only)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intent-level picture is mixed, with each architecture winning on distinct intents: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wins: EXTRACT_CONSTANT (40.0% vs. 28.6%), FLATTEN_CONDITIONAL (33.3% vs. 16.7%), RENAME_SYMBOL (17.4% vs. 10.3%).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Single wins: EXTRACT_METHOD (17.6% vs. 11.5%), INLINE_VARIABLE (8.3% vs. 0.0%), DECOMPOSE_CONDITIONAL (13.5% vs. 4.5%), SPLIT_LOOP (6.2% vs. 0.0%).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Neither system achieves BER on REMOVE_CONTROL_FLAG, EXTRACT_VARIABLE, CONSOLIDATE_CONDITIONAL, or REPLACE_LOOP_WITH_PIPELINE under SUCCESS-only filtering — indicating these intents are particularly challenging for behavioral preservation regardless of architecture.</w:t>
      </w:r>
    </w:p>
    <w:p>
      <w:pPr>
        <w:pStyle w:val="Normal"/>
        <w:spacing w:before="100" w:after="0"/>
        <w:jc w:val="center"/>
        <w:rPr/>
        <w:sectPr>
          <w:headerReference w:type="even" r:id="rId35"/>
          <w:headerReference w:type="default" r:id="rId36"/>
          <w:headerReference w:type="first" r:id="rId37"/>
          <w:footerReference w:type="even" r:id="rId38"/>
          <w:footerReference w:type="default" r:id="rId39"/>
          <w:footerReference w:type="first" r:id="rId40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  <w:drawing>
          <wp:inline distT="0" distB="0" distL="0" distR="0">
            <wp:extent cx="4286250" cy="3048000"/>
            <wp:effectExtent l="0" t="0" r="0" b="0"/>
            <wp:docPr id="9" name="ber/ber_per_intent_success.png" descr="ber/ber_per_intent_success.png" title="ber/ber_per_intent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er/ber_per_intent_success.png" descr="ber/ber_per_intent_success.png" title="ber/ber_per_intent_success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spacing w:before="0" w:after="120"/>
        <w:rPr/>
      </w:pPr>
      <w:bookmarkStart w:id="16" w:name="__RefHeading___Toc1706_261423446"/>
      <w:bookmarkEnd w:id="16"/>
      <w:r>
        <w:rPr>
          <w:rFonts w:eastAsia="Arial" w:cs="Arial"/>
        </w:rPr>
        <w:t>3.3 Cyclomatic Complexity (CC)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Cyclomatic complexity measures the number of linearly independent paths through code. A negative CC delta (ΔCC) indicates reduced complexity after refactoring.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Overall CC Δ Statistics (SUCCESS-Only)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Mean ΔCC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-0.04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-0.33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Median ΔCC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0.00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0.00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Std Dev ΔCC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1.37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1.13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Min ΔCC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-7.00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-4.00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Max ΔCC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+9.00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+4.00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Sample Size (n)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272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202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857500"/>
            <wp:effectExtent l="0" t="0" r="0" b="0"/>
            <wp:docPr id="10" name="cc/cc_overall_success.png" descr="cc/cc_overall_success.png" title="cc/cc_overall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c/cc_overall_success.png" descr="cc/cc_overall_success.png" title="cc/cc_overall_success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shows a more negative mean CC delta (-0.33 vs. -0.04) with tighter variance (±1.13 vs. ±1.37). The tighter spread indicates the multi-agent pipeline filters out extreme CC changes that the single model occasionally produces (Multi max +4 vs. Single +9). Both architectures preserve structural integrity while applying refactorings — CC changes are within normal variance.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For reference, RAW all-entries figures are comparable: Single -0.04 ±1.35, Multi -0.24 ±0.98. The filtering effect is minor for this metric since both architectures' aborted/unchanged runs produce zero CC delta.</w:t>
      </w:r>
    </w:p>
    <w:p>
      <w:pPr>
        <w:pStyle w:val="Heading2"/>
        <w:spacing w:before="240" w:after="120"/>
        <w:rPr>
          <w:rFonts w:eastAsia="Arial" w:cs="Arial"/>
        </w:rPr>
      </w:pPr>
      <w:r>
        <w:rPr>
          <w:rFonts w:eastAsia="Arial" w:cs="Arial"/>
        </w:rPr>
      </w:r>
      <w:r>
        <w:br w:type="page"/>
      </w:r>
    </w:p>
    <w:p>
      <w:pPr>
        <w:pStyle w:val="Heading2"/>
        <w:spacing w:before="240" w:after="120"/>
        <w:rPr>
          <w:rFonts w:eastAsia="Arial" w:cs="Arial"/>
        </w:rPr>
      </w:pPr>
      <w:bookmarkStart w:id="17" w:name="__RefHeading___Toc1708_261423446"/>
      <w:bookmarkEnd w:id="17"/>
      <w:r>
        <w:rPr>
          <w:rFonts w:eastAsia="Arial" w:cs="Arial"/>
        </w:rPr>
        <w:t>CC Δ by Difficulty (SUCCESS-Only)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Mean CC Δ by Difficulty (SUCCESS-Only)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Easy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+0.02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-0.19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Hard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-0.21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-0.41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0.00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-0.38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857500"/>
            <wp:effectExtent l="0" t="0" r="0" b="0"/>
            <wp:docPr id="11" name="cc/cc_diff_success.png" descr="cc/cc_diff_success.png" title="cc/cc_diff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c/cc_diff_success.png" descr="cc/cc_diff_success.png" title="cc/cc_diff_success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consistently shows more negative CC deltas across all difficulty levels. The differences are small (&lt;0.4 CC units) and practically meaningful only as a directional indicator that the multi-agent pipeline tends toward mild complexity reduction rather than increase.</w:t>
      </w:r>
    </w:p>
    <w:p>
      <w:pPr>
        <w:pStyle w:val="Heading2"/>
        <w:spacing w:before="240" w:after="120"/>
        <w:rPr>
          <w:rFonts w:eastAsia="Arial" w:cs="Arial"/>
        </w:rPr>
      </w:pPr>
      <w:r>
        <w:rPr>
          <w:rFonts w:eastAsia="Arial" w:cs="Arial"/>
        </w:rPr>
      </w:r>
      <w:r>
        <w:br w:type="page"/>
      </w:r>
    </w:p>
    <w:p>
      <w:pPr>
        <w:pStyle w:val="Heading2"/>
        <w:spacing w:before="240" w:after="120"/>
        <w:rPr>
          <w:rFonts w:eastAsia="Arial" w:cs="Arial"/>
        </w:rPr>
      </w:pPr>
      <w:bookmarkStart w:id="18" w:name="__RefHeading___Toc1710_261423446"/>
      <w:bookmarkEnd w:id="18"/>
      <w:r>
        <w:rPr>
          <w:rFonts w:eastAsia="Arial" w:cs="Arial"/>
        </w:rPr>
        <w:t>CC Δ by Refactoring Intent (SUCCESS-Only)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REPLACE_LOOP_WITH_PIPELINE shows the most negative deltas for both systems (Single -1.06, Multi -1.80), as expected for loop-to-stream transformations. REMOVE_CONTROL_FLAG also reduces CC (Single -1.25, Multi -1.71). Multi shows a pronounced CC reduction on CONSOLIDATE_CONDITIONAL (-1.25 vs. +0.44), suggesting the strategy agent better captures the complexity-reducing intent of this transformation.</w:t>
      </w:r>
    </w:p>
    <w:p>
      <w:pPr>
        <w:pStyle w:val="Normal"/>
        <w:spacing w:before="100" w:after="0"/>
        <w:jc w:val="center"/>
        <w:rPr/>
        <w:sectPr>
          <w:headerReference w:type="even" r:id="rId44"/>
          <w:headerReference w:type="default" r:id="rId45"/>
          <w:headerReference w:type="first" r:id="rId46"/>
          <w:footerReference w:type="even" r:id="rId47"/>
          <w:footerReference w:type="default" r:id="rId48"/>
          <w:footerReference w:type="first" r:id="rId49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  <w:drawing>
          <wp:inline distT="0" distB="0" distL="0" distR="0">
            <wp:extent cx="4286250" cy="3048000"/>
            <wp:effectExtent l="0" t="0" r="0" b="0"/>
            <wp:docPr id="12" name="cc/cc_per_intent_success.png" descr="cc/cc_per_intent_success.png" title="cc/cc_per_intent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c/cc_per_intent_success.png" descr="cc/cc_per_intent_success.png" title="cc/cc_per_intent_success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spacing w:before="0" w:after="120"/>
        <w:rPr/>
      </w:pPr>
      <w:bookmarkStart w:id="19" w:name="__RefHeading___Toc1712_261423446"/>
      <w:bookmarkEnd w:id="19"/>
      <w:r>
        <w:rPr>
          <w:rFonts w:eastAsia="Arial" w:cs="Arial"/>
        </w:rPr>
        <w:t>3.4 Maintainability Index (MI)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Maintainability Index is a composite metric (0–100 scale) combining Halstead Volume, cyclomatic complexity, and lines of code. Higher values indicate more maintainable code. A positive MI delta (ΔMI) indicates improvement.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Overall MI Δ Statistics (SUCCESS-Only)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Mean ΔMI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-1.67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-2.13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Median ΔMI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-2.04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-1.96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Std Dev ΔMI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8.94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7.89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Min ΔMI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-68.39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-23.01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Max ΔMI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+51.46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+32.27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Sample Size (n)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272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202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857500"/>
            <wp:effectExtent l="0" t="0" r="0" b="0"/>
            <wp:docPr id="13" name="mi/mi_overall_success.png" descr="mi/mi_overall_success.png" title="mi/mi_overall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i/mi_overall_success.png" descr="mi/mi_overall_success.png" title="mi/mi_overall_success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MI deltas are comparable between architectures. The mean difference (-0.46 MI units) is well within one standard deviation (~8-9 units) and not practically meaningful. Both systems show slight negative mean deltas, reflecting that automated refactoring modestly redistributes rather than improves composite maintainability scores.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Notable: Multi avoids the extreme MI drops seen in the single model (min -23.01 vs. -68.39), consistent with the pipeline's variance-filtering behavior. The strategy-and-generator decomposition appears to prevent catastrophic transformations that severely degrade MI.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RAW all-entries figures: Single -1.63 ±8.83, Multi -1.54 ±6.77. Similar trends.</w:t>
      </w:r>
    </w:p>
    <w:p>
      <w:pPr>
        <w:pStyle w:val="Heading2"/>
        <w:spacing w:before="240" w:after="120"/>
        <w:rPr>
          <w:rFonts w:eastAsia="Arial" w:cs="Arial"/>
        </w:rPr>
      </w:pPr>
      <w:r>
        <w:rPr>
          <w:rFonts w:eastAsia="Arial" w:cs="Arial"/>
        </w:rPr>
      </w:r>
      <w:r>
        <w:br w:type="page"/>
      </w:r>
    </w:p>
    <w:p>
      <w:pPr>
        <w:pStyle w:val="Heading2"/>
        <w:spacing w:before="240" w:after="120"/>
        <w:rPr>
          <w:rFonts w:eastAsia="Arial" w:cs="Arial"/>
        </w:rPr>
      </w:pPr>
      <w:bookmarkStart w:id="20" w:name="__RefHeading___Toc1714_261423446"/>
      <w:bookmarkEnd w:id="20"/>
      <w:r>
        <w:rPr>
          <w:rFonts w:eastAsia="Arial" w:cs="Arial"/>
        </w:rPr>
        <w:t>MI Δ by Difficulty (SUCCESS-Only)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Mean MI Δ by Difficulty (SUCCESS-Only)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Easy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-1.16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-1.55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Hard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-1.29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-2.52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-2.02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-2.31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857500"/>
            <wp:effectExtent l="0" t="0" r="0" b="0"/>
            <wp:docPr id="14" name="mi/mi_diff_success.png" descr="mi/mi_diff_success.png" title="mi/mi_diff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i/mi_diff_success.png" descr="mi/mi_diff_success.png" title="mi/mi_diff_success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Multi edges Single on Easy tasks (-1.55 vs. -1.16) is reversed — Single slightly leads on Easy. The largest gap is on Hard tasks (-2.52 vs. -1.29), where the strategy agent's more aggressive transformations may impact maintainability scores.</w:t>
      </w:r>
    </w:p>
    <w:p>
      <w:pPr>
        <w:pStyle w:val="Heading2"/>
        <w:spacing w:before="240" w:after="120"/>
        <w:rPr>
          <w:rFonts w:eastAsia="Arial" w:cs="Arial"/>
        </w:rPr>
      </w:pPr>
      <w:r>
        <w:rPr>
          <w:rFonts w:eastAsia="Arial" w:cs="Arial"/>
        </w:rPr>
      </w:r>
      <w:r>
        <w:br w:type="page"/>
      </w:r>
    </w:p>
    <w:p>
      <w:pPr>
        <w:pStyle w:val="Heading2"/>
        <w:spacing w:before="240" w:after="120"/>
        <w:rPr>
          <w:rFonts w:eastAsia="Arial" w:cs="Arial"/>
        </w:rPr>
      </w:pPr>
      <w:bookmarkStart w:id="21" w:name="__RefHeading___Toc1716_261423446"/>
      <w:bookmarkEnd w:id="21"/>
      <w:r>
        <w:rPr>
          <w:rFonts w:eastAsia="Arial" w:cs="Arial"/>
        </w:rPr>
        <w:t>MI Δ by Refactoring Intent (SUCCESS-Only)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CONSOLIDATE_CONDITIONAL shows positive MI improvement for both systems (Single +2.02, Multi +1.02) — condensing conditions directly improves the composite metric. INLINE_VARIABLE shows the strongest divergence: Multi achieves strong MI improvement (+8.93) while Single degrades (-1.76). EXTRACT_CONSTANT favors Single (+5.32 vs. -0.78). SPLIT_LOOP is the largest negative for both (Single -4.41, Multi -6.45).</w:t>
      </w:r>
    </w:p>
    <w:p>
      <w:pPr>
        <w:pStyle w:val="Normal"/>
        <w:spacing w:before="100" w:after="0"/>
        <w:jc w:val="center"/>
        <w:rPr/>
        <w:sectPr>
          <w:headerReference w:type="even" r:id="rId53"/>
          <w:headerReference w:type="default" r:id="rId54"/>
          <w:headerReference w:type="first" r:id="rId55"/>
          <w:footerReference w:type="even" r:id="rId56"/>
          <w:footerReference w:type="default" r:id="rId57"/>
          <w:footerReference w:type="first" r:id="rId58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  <w:drawing>
          <wp:inline distT="0" distB="0" distL="0" distR="0">
            <wp:extent cx="4286250" cy="3048000"/>
            <wp:effectExtent l="0" t="0" r="0" b="0"/>
            <wp:docPr id="15" name="mi/mi_per_intent_success.png" descr="mi/mi_per_intent_success.png" title="mi/mi_per_intent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i/mi_per_intent_success.png" descr="mi/mi_per_intent_success.png" title="mi/mi_per_intent_success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0" w:after="200"/>
        <w:rPr/>
      </w:pPr>
      <w:bookmarkStart w:id="22" w:name="__RefHeading___Toc1718_261423446"/>
      <w:bookmarkEnd w:id="22"/>
      <w:r>
        <w:rPr>
          <w:rFonts w:eastAsia="Arial" w:cs="Arial"/>
        </w:rPr>
        <w:t>4. System Feature Analysis</w:t>
      </w:r>
    </w:p>
    <w:p>
      <w:pPr>
        <w:pStyle w:val="Heading2"/>
        <w:spacing w:before="240" w:after="120"/>
        <w:rPr/>
      </w:pPr>
      <w:bookmarkStart w:id="23" w:name="__RefHeading___Toc1720_261423446"/>
      <w:bookmarkEnd w:id="23"/>
      <w:r>
        <w:rPr>
          <w:rFonts w:eastAsia="Arial" w:cs="Arial"/>
        </w:rPr>
        <w:t>4.1 Parameter Distribution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multi-agent system distributes refactoring across three specialist agents using two distinct 3B-parameter models, totalling 6B parameters. The single baseline uses one 7B-parameter model with no orchestration.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Architecture Comparison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Logical Agents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 (Monolith)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 (Planner, Generator, Judge)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Distinct Model Sets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 (Qwen 3B + Llama 3B)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Total Parameters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7B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6B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Max Single Model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7B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3B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Avg Inference Calls/Run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2.5 (SUCCESS-only)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667000"/>
            <wp:effectExtent l="0" t="0" r="0" b="0"/>
            <wp:docPr id="16" name="tier/parameter_distribution.png" descr="tier/parameter_distribution.png" title="tier/parameter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ier/parameter_distribution.png" descr="tier/parameter_distribution.png" title="tier/parameter_distribution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Planner and Generator share the same Qwen2.5-Coder-3B-Instruct model weights; the Judge uses Llama-3.2-3B-Instruct. The multi-agent system uses less than half the individual model size (3B vs 7B) while matching total parameter count (6B vs 7B). The cost is increased inference calls: Multi averages 2.5 calls per SUCCESS run versus Single's single pass.</w:t>
      </w:r>
    </w:p>
    <w:p>
      <w:pPr>
        <w:pStyle w:val="Heading2"/>
        <w:spacing w:before="240" w:after="120"/>
        <w:rPr>
          <w:rFonts w:eastAsia="Arial" w:cs="Arial"/>
        </w:rPr>
      </w:pPr>
      <w:r>
        <w:rPr>
          <w:rFonts w:eastAsia="Arial" w:cs="Arial"/>
        </w:rPr>
      </w:r>
      <w:r>
        <w:br w:type="page"/>
      </w:r>
    </w:p>
    <w:p>
      <w:pPr>
        <w:pStyle w:val="Heading2"/>
        <w:spacing w:before="240" w:after="120"/>
        <w:rPr>
          <w:rFonts w:eastAsia="Arial" w:cs="Arial"/>
        </w:rPr>
      </w:pPr>
      <w:bookmarkStart w:id="24" w:name="__RefHeading___Toc1722_261423446"/>
      <w:bookmarkEnd w:id="24"/>
      <w:r>
        <w:rPr>
          <w:rFonts w:eastAsia="Arial" w:cs="Arial"/>
        </w:rPr>
        <w:t>4.2 Validation Interception Rate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multi-agent pipeline includes a deterministic validation layer (tiered checks: syntax, complexity, boundary, intent-math, judge) that intercepts outputs before finalization. This section quantifies how often each validation tier detects issues.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RAW interception (all 279 entries): 40.1% of runs trigger at least one validation tier. The dominant detection gate is intent-math (25.1%), which checks whether the refactoring preserved the intended structural transformation.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Validation Interception (RAW, %)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Interception %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Syntax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4.3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Cyclomatic Complexity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6.8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Boundary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6.1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Intent Math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25.1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Judge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9.7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Any Tier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40.1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667000"/>
            <wp:effectExtent l="0" t="0" r="0" b="0"/>
            <wp:docPr id="17" name="tier/tier_interception_overall.png" descr="tier/tier_interception_overall.png" title="tier/tier_interception_over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ier/tier_interception_overall.png" descr="tier/tier_interception_overall.png" title="tier/tier_interception_overall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On SUCCESS-only runs (n=202), 17.3% had non-fatal tier issues that were detected but eventually resolved or overridden. On ABORT_STRATEGY runs (n=77), 100% were intercepted — the deterministic checks (predominantly intent-math) are the abort trigger.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286250" cy="2667000"/>
            <wp:effectExtent l="0" t="0" r="0" b="0"/>
            <wp:docPr id="18" name="tier/tier_interception_by_exit.png" descr="tier/tier_interception_by_exit.png" title="tier/tier_interception_by_ex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ier/tier_interception_by_exit.png" descr="tier/tier_interception_by_exit.png" title="tier/tier_interception_by_exit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By difficulty, Medium tasks have the highest interception rate (46.8% ANY), followed by Hard (40.0%) and Easy (25.0%). By intent, CONSOLIDATE_CONDITIONAL (93.3%), SPLIT_LOOP (80.0%), and FLATTEN_CONDITIONAL (80.0%) are flagged most often. EXTRACT_METHOD (4.8%) and INLINE_VARIABLE (6.3%) are flagged least.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667000"/>
            <wp:effectExtent l="0" t="0" r="0" b="0"/>
            <wp:docPr id="19" name="tier/tier_interception_by_difficulty.png" descr="tier/tier_interception_by_difficulty.png" title="tier/tier_interception_by_difficul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ier/tier_interception_by_difficulty.png" descr="tier/tier_interception_by_difficulty.png" title="tier/tier_interception_by_difficulty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286250" cy="2667000"/>
            <wp:effectExtent l="0" t="0" r="0" b="0"/>
            <wp:docPr id="20" name="tier/tier_interception_by_intent.png" descr="tier/tier_interception_by_intent.png" title="tier/tier_interception_by_int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ier/tier_interception_by_intent.png" descr="tier/tier_interception_by_intent.png" title="tier/tier_interception_by_intent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  <w:rPr/>
      </w:pPr>
      <w:bookmarkStart w:id="25" w:name="__RefHeading___Toc1724_261423446"/>
      <w:bookmarkEnd w:id="25"/>
      <w:r>
        <w:rPr>
          <w:rFonts w:eastAsia="Arial" w:cs="Arial"/>
        </w:rPr>
        <w:t>4.3 Iterative Feedback Resolution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When the validator blocks a plan, the strategy agent replans (up to 3 iterations before aborting). The resolution rate measures how often retry cycles successfully produce acceptable output.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Resolution Rates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00"/>
        <w:gridCol w:w="4360"/>
      </w:tblGrid>
      <w:tr>
        <w:trPr/>
        <w:tc>
          <w:tcPr>
            <w:tcW w:w="5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5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System Resolution (SUCCESS / total)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72.4% (202/279)</w:t>
            </w:r>
          </w:p>
        </w:tc>
      </w:tr>
      <w:tr>
        <w:trPr/>
        <w:tc>
          <w:tcPr>
            <w:tcW w:w="5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First-Pass Success (iter=1 / SUCCESS)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83.7% (169/202)</w:t>
            </w:r>
          </w:p>
        </w:tc>
      </w:tr>
      <w:tr>
        <w:trPr/>
        <w:tc>
          <w:tcPr>
            <w:tcW w:w="5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Retry Rescue (retry+SUCCESS / all retries)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30.0% (33/110)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3619500" cy="2667000"/>
            <wp:effectExtent l="0" t="0" r="0" b="0"/>
            <wp:docPr id="21" name="iter/resolution_rate_summary.png" descr="iter/resolution_rate_summary.png" title="iter/resolution_rate_sum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ter/resolution_rate_summary.png" descr="iter/resolution_rate_summary.png" title="iter/resolution_rate_summary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83.7% of successful runs converge in the first strategy iteration — the planner's initial plan works. Of the 110 runs needing retry, 33 (30.0%) are rescued by the retry mechanism; the remaining 77 exhaust the 3-iteration budget and abort.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3619500" cy="2667000"/>
            <wp:effectExtent l="0" t="0" r="0" b="0"/>
            <wp:docPr id="22" name="iter/strategy_iter_distribution.png" descr="iter/strategy_iter_distribution.png" title="iter/strategy_iter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ter/strategy_iter_distribution.png" descr="iter/strategy_iter_distribution.png" title="iter/strategy_iter_distribution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First-pass rate is highest on Easy tasks (89.7%), declining to Medium (81.6%) and Hard (80.5%). The retry loop effectively filters rather than rehabilitates difficult tasks.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3619500" cy="2667000"/>
            <wp:effectExtent l="0" t="0" r="0" b="0"/>
            <wp:docPr id="23" name="iter/resolution_by_difficulty.png" descr="iter/resolution_by_difficulty.png" title="iter/resolution_by_difficul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ter/resolution_by_difficulty.png" descr="iter/resolution_by_difficulty.png" title="iter/resolution_by_difficulty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857500"/>
            <wp:effectExtent l="0" t="0" r="0" b="0"/>
            <wp:docPr id="24" name="iter/resolution_by_intent.png" descr="iter/resolution_by_intent.png" title="iter/resolution_by_int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ter/resolution_by_intent.png" descr="iter/resolution_by_intent.png" title="iter/resolution_by_intent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  <w:rPr>
          <w:rFonts w:eastAsia="Arial" w:cs="Arial"/>
        </w:rPr>
      </w:pPr>
      <w:bookmarkStart w:id="26" w:name="__RefHeading___Toc1726_261423446"/>
      <w:bookmarkEnd w:id="26"/>
      <w:r>
        <w:rPr>
          <w:rFonts w:eastAsia="Arial" w:cs="Arial"/>
        </w:rPr>
        <w:t>4.4 Per-Tier Resolution Rate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Of entries where a validation tier was flagged (any iteration), what fraction eventually exit as SUCCESS? This identifies which validator issues are fatal vs. survivable.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Per-Tier Resolution Rate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8"/>
        <w:gridCol w:w="1802"/>
        <w:gridCol w:w="1800"/>
        <w:gridCol w:w="2960"/>
      </w:tblGrid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Flagged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Resolved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Resolve %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Syntax</w:t>
            </w:r>
          </w:p>
        </w:tc>
        <w:tc>
          <w:tcPr>
            <w:tcW w:w="1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16.7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Cyclomatic Complexity</w:t>
            </w:r>
          </w:p>
        </w:tc>
        <w:tc>
          <w:tcPr>
            <w:tcW w:w="1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19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21.1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Boundary</w:t>
            </w:r>
          </w:p>
        </w:tc>
        <w:tc>
          <w:tcPr>
            <w:tcW w:w="1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17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41.2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Intent Math</w:t>
            </w:r>
          </w:p>
        </w:tc>
        <w:tc>
          <w:tcPr>
            <w:tcW w:w="1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13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18.6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Judge</w:t>
            </w:r>
          </w:p>
        </w:tc>
        <w:tc>
          <w:tcPr>
            <w:tcW w:w="1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27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13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48.1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Overall</w:t>
            </w:r>
          </w:p>
        </w:tc>
        <w:tc>
          <w:tcPr>
            <w:tcW w:w="18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145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39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26.9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667000"/>
            <wp:effectExtent l="0" t="0" r="0" b="0"/>
            <wp:docPr id="25" name="iter/resolution_by_tier.png" descr="iter/resolution_by_tier.png" title="iter/resolution_by_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ter/resolution_by_tier.png" descr="iter/resolution_by_tier.png" title="iter/resolution_by_tier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3048000" cy="2667000"/>
            <wp:effectExtent l="0" t="0" r="0" b="0"/>
            <wp:docPr id="26" name="iter/resolution_overall.png" descr="iter/resolution_overall.png" title="iter/resolution_over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ter/resolution_overall.png" descr="iter/resolution_overall.png" title="iter/resolution_overall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Syntax errors are the least survivable (16.7% resolve) — once the generator produces invalid code, recovery is unlikely. Intent math is flagged most often (70 entries) with low 18.6% resolvability, making it the dominant bottleneck by volume. Judge flags are the most survivable (48.1%), suggesting the judge correctly identifies non-blocking issues.</w:t>
      </w:r>
    </w:p>
    <w:p>
      <w:pPr>
        <w:pStyle w:val="Normal"/>
        <w:spacing w:before="100" w:after="0"/>
        <w:jc w:val="center"/>
        <w:rPr/>
        <w:sectPr>
          <w:headerReference w:type="even" r:id="rId71"/>
          <w:headerReference w:type="default" r:id="rId72"/>
          <w:headerReference w:type="first" r:id="rId73"/>
          <w:footerReference w:type="even" r:id="rId74"/>
          <w:footerReference w:type="default" r:id="rId75"/>
          <w:footerReference w:type="first" r:id="rId76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  <w:drawing>
          <wp:inline distT="0" distB="0" distL="0" distR="0">
            <wp:extent cx="3619500" cy="2667000"/>
            <wp:effectExtent l="0" t="0" r="0" b="0"/>
            <wp:docPr id="27" name="iter/intercept_resolution_by_difficulty.png" descr="iter/intercept_resolution_by_difficulty.png" title="iter/intercept_resolution_by_difficul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ter/intercept_resolution_by_difficulty.png" descr="iter/intercept_resolution_by_difficulty.png" title="iter/intercept_resolution_by_difficulty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0" w:after="200"/>
        <w:rPr/>
      </w:pPr>
      <w:bookmarkStart w:id="27" w:name="__RefHeading___Toc1728_261423446"/>
      <w:bookmarkEnd w:id="27"/>
      <w:r>
        <w:rPr>
          <w:rFonts w:eastAsia="Arial" w:cs="Arial"/>
        </w:rPr>
        <w:t>5. Computational Efficiency</w:t>
      </w:r>
    </w:p>
    <w:p>
      <w:pPr>
        <w:pStyle w:val="Heading2"/>
        <w:spacing w:before="240" w:after="120"/>
        <w:rPr/>
      </w:pPr>
      <w:bookmarkStart w:id="28" w:name="__RefHeading___Toc1730_261423446"/>
      <w:bookmarkEnd w:id="28"/>
      <w:r>
        <w:rPr>
          <w:rFonts w:eastAsia="Arial" w:cs="Arial"/>
        </w:rPr>
        <w:t>5.1 Inference Time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Duration Statistics (SUCCESS-Only)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Mean (s)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23.2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77.5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Median (s)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20.1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67.3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ABORT Mean (s)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173.5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Total Wall Time (h)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1.8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8.1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667000"/>
            <wp:effectExtent l="0" t="0" r="0" b="0"/>
            <wp:docPr id="28" name="efficiency/duration_comparison.png" descr="efficiency/duration_comparison.png" title="efficiency/duration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fficiency/duration_comparison.png" descr="efficiency/duration_comparison.png" title="efficiency/duration_comparison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multi-agent system is ~3.3× slower than the single model on SUCCESS runs. ABORT_STRATEGY runs are the slowest (173.5s mean), as the strategy agent consumes its full 3-iteration budget before giving up. Multi averages 6,283 ms per inference call (avg_gen_ms).</w:t>
      </w:r>
    </w:p>
    <w:p>
      <w:pPr>
        <w:pStyle w:val="Heading2"/>
        <w:spacing w:before="240" w:after="120"/>
        <w:rPr/>
      </w:pPr>
      <w:bookmarkStart w:id="29" w:name="__RefHeading___Toc1732_261423446"/>
      <w:bookmarkEnd w:id="29"/>
      <w:r>
        <w:rPr>
          <w:rFonts w:eastAsia="Arial" w:cs="Arial"/>
        </w:rPr>
        <w:t>5.2 GPU Memory Usage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Peak GPU Memory (MB, Multi only)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Mean (MB)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3,221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Median (MB)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3,336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Min (MB)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2,826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Max (MB)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3,336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667000"/>
            <wp:effectExtent l="0" t="0" r="0" b="0"/>
            <wp:docPr id="29" name="efficiency/gpu_memory_comparison.png" descr="efficiency/gpu_memory_comparison.png" title="efficiency/gpu_memory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efficiency/gpu_memory_comparison.png" descr="efficiency/gpu_memory_comparison.png" title="efficiency/gpu_memory_comparison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multi-agent pipeline peaks at ~3.2 GB VRAM, consistent with loading the 3B models sequentially rather than the 7B model's larger footprint. GPU tracking was not instrumented for the single-model run in this round, so a direct head-to-head VRAM comparison is not available here. The 7B Q4_K_M model file (~4.4 GB) implies a larger footprint than the 3B pipeline.</w:t>
      </w:r>
    </w:p>
    <w:p>
      <w:pPr>
        <w:pStyle w:val="Heading2"/>
        <w:spacing w:before="240" w:after="120"/>
        <w:rPr/>
      </w:pPr>
      <w:bookmarkStart w:id="30" w:name="__RefHeading___Toc1734_261423446"/>
      <w:bookmarkEnd w:id="30"/>
      <w:r>
        <w:rPr>
          <w:rFonts w:eastAsia="Arial" w:cs="Arial"/>
        </w:rPr>
        <w:t>5.3 Statistical Significance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A Wilcoxon signed-rank test on 200 paired SUCCESS tasks (both architectures produced output on the same task) confirms the duration difference is overwhelmingly significant.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Wilcoxon Signed-Rank Results (200 Pairs)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8"/>
        <w:gridCol w:w="2082"/>
        <w:gridCol w:w="2080"/>
        <w:gridCol w:w="2080"/>
      </w:tblGrid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Median Diff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p-value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Significant?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Duration (Multi - Single)</w:t>
            </w:r>
          </w:p>
        </w:tc>
        <w:tc>
          <w:tcPr>
            <w:tcW w:w="20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+45.8 s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1.4e-34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Yes</w:t>
            </w:r>
          </w:p>
        </w:tc>
      </w:tr>
    </w:tbl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000500" cy="2667000"/>
            <wp:effectExtent l="0" t="0" r="0" b="0"/>
            <wp:docPr id="30" name="efficiency/wilcoxon_paired_diffs.png" descr="efficiency/wilcoxon_paired_diffs.png" title="efficiency/wilcoxon_paired_diff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fficiency/wilcoxon_paired_diffs.png" descr="efficiency/wilcoxon_paired_diffs.png" title="efficiency/wilcoxon_paired_diffs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both"/>
        <w:rPr/>
        <w:sectPr>
          <w:headerReference w:type="even" r:id="rId80"/>
          <w:headerReference w:type="default" r:id="rId81"/>
          <w:headerReference w:type="first" r:id="rId82"/>
          <w:footerReference w:type="even" r:id="rId83"/>
          <w:footerReference w:type="default" r:id="rId84"/>
          <w:footerReference w:type="first" r:id="rId85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Arial" w:cs="Arial"/>
          <w:sz w:val="22"/>
          <w:szCs w:val="22"/>
        </w:rPr>
        <w:t>The paired difference distribution confirms a consistent directional effect across all 200 tasks — Multi is uniformly slower per-task, with no crossover. The effect is not driven by outliers.</w:t>
      </w:r>
      <w:r>
        <w:br w:type="page"/>
      </w:r>
    </w:p>
    <w:p>
      <w:pPr>
        <w:pStyle w:val="Heading1"/>
        <w:spacing w:before="0" w:after="200"/>
        <w:rPr/>
      </w:pPr>
      <w:bookmarkStart w:id="31" w:name="__RefHeading___Toc1736_261423446"/>
      <w:bookmarkEnd w:id="31"/>
      <w:r>
        <w:rPr>
          <w:rFonts w:eastAsia="Arial" w:cs="Arial"/>
        </w:rPr>
        <w:t>6. Discussion</w:t>
      </w:r>
    </w:p>
    <w:p>
      <w:pPr>
        <w:pStyle w:val="Heading2"/>
        <w:spacing w:before="240" w:after="120"/>
        <w:rPr/>
      </w:pPr>
      <w:bookmarkStart w:id="32" w:name="__RefHeading___Toc1738_261423446"/>
      <w:bookmarkEnd w:id="32"/>
      <w:r>
        <w:rPr>
          <w:rFonts w:eastAsia="Arial" w:cs="Arial"/>
        </w:rPr>
        <w:t>6.1 Can 3B Multi-Agent Match 7B Single-Model Quality?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evidence is mixed but largely supportive. Across the four evaluation metrics, the multi-agent 3B system performs at or near the 7B baseline despite using models less than half the individual parameter count: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BER: Statistically tied (Single 11.5% vs. Multi 11.0%). Unlike the prior round, the multi-agent system no longer holds a BER edge, but the architectures remain competitive on the most stringent quality metric.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CC and MI: Comparable, with Multi showing tighter output variance. The pipeline's structured decomposition filters out extreme outputs.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CSR: Single leads by 8–13 percentage points, but the gap is concentrated in the strategy agent's abort rate. Multi matches or exceeds Single on specific intent types (INLINE_METHOD, CONSOLIDATE_CONDITIONAL).</w:t>
      </w:r>
    </w:p>
    <w:p>
      <w:pPr>
        <w:pStyle w:val="Heading2"/>
        <w:spacing w:before="240" w:after="120"/>
        <w:rPr/>
      </w:pPr>
      <w:bookmarkStart w:id="33" w:name="__RefHeading___Toc1740_261423446"/>
      <w:bookmarkEnd w:id="33"/>
      <w:r>
        <w:rPr>
          <w:rFonts w:eastAsia="Arial" w:cs="Arial"/>
        </w:rPr>
        <w:t>6.2 The Abort Rate as a Design Choice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multi-agent system's 27.6% ABORT_STRATEGY rate should be interpreted as a tunable safety margin, not a ceiling. When the strategy agent cannot converge on a viable refactoring plan within its 3-iteration budget, it exits cleanly rather than producing potentially broken code. This is fundamentally different from Single's NO_CHANGE exits (2.5%), where the model silently returns unchanged code without indicating that no transformation was attempted.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strategy agent's abort rate is tunable via: increasing the iteration budget, improving convergence heuristics, or relaxing plan-acceptance criteria. These are implementation-level optimizations, not architectural limitations. At the same time, the current conservative threshold ensures high precision on outputs that do get produced.</w:t>
      </w:r>
    </w:p>
    <w:p>
      <w:pPr>
        <w:pStyle w:val="Heading2"/>
        <w:spacing w:before="240" w:after="120"/>
        <w:rPr/>
      </w:pPr>
      <w:bookmarkStart w:id="34" w:name="__RefHeading___Toc1742_261423446"/>
      <w:bookmarkEnd w:id="34"/>
      <w:r>
        <w:rPr>
          <w:rFonts w:eastAsia="Arial" w:cs="Arial"/>
        </w:rPr>
        <w:t>6.3 Intent-Specific Strengths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multi-agent architecture shows clear advantages on well-scoped, procedural transformations (INLINE_METHOD, CONSOLIDATE_CONDITIONAL, EXTRACT_CONSTANT) where the strategy–generator decomposition maps naturally to the task structure. Single retains an edge on control-flow-heavy transformations (DECOMPOSE_CONDITIONAL, FLATTEN_CONDITIONAL, SPLIT_LOOP) that require holistic code understanding.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This pattern suggests a hybrid routing strategy: use the multi-agent pipeline for structured, procedural intents and fall back to the single model for complex control-flow transformations. Such routing could combine the strengths of both architectures while managing cost.</w:t>
      </w:r>
    </w:p>
    <w:p>
      <w:pPr>
        <w:pStyle w:val="Heading2"/>
        <w:spacing w:before="240" w:after="120"/>
        <w:rPr/>
      </w:pPr>
      <w:bookmarkStart w:id="35" w:name="__RefHeading___Toc1744_261423446"/>
      <w:bookmarkEnd w:id="35"/>
      <w:r>
        <w:rPr>
          <w:rFonts w:eastAsia="Arial" w:cs="Arial"/>
        </w:rPr>
        <w:t>6.4 Validation and Efficiency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deterministic validation pipeline provides a structured safety net: 40.1% of runs are intercepted, with intent-math (25.1%) as the dominant gate. Per-tier resolution analysis shows syntax errors are near-fatal (16.7% resolve), while judge flags are the most survivable (48.1%) — validating the judge's role in filtering non-blocking issues.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Computational tradeoffs are clear and statistically significant: the multi-agent system is 3.3× slower (Wilcoxon p = 1.4e-34). The pipeline operates within a ~3.2 GB VRAM footprint, making it viable on consumer-grade hardware where a 7B model may not fit. The ABORT_STRATEGY runs (173.5s mean) represent 27.6% of cycles spent without productive output — optimizing the abort threshold would improve throughput directly.</w:t>
      </w:r>
    </w:p>
    <w:p>
      <w:pPr>
        <w:pStyle w:val="Normal"/>
        <w:spacing w:before="0" w:after="0"/>
        <w:jc w:val="both"/>
        <w:rPr/>
        <w:sectPr>
          <w:headerReference w:type="even" r:id="rId86"/>
          <w:headerReference w:type="default" r:id="rId87"/>
          <w:headerReference w:type="first" r:id="rId88"/>
          <w:footerReference w:type="even" r:id="rId89"/>
          <w:footerReference w:type="default" r:id="rId90"/>
          <w:footerReference w:type="first" r:id="rId91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Arial" w:cs="Arial"/>
          <w:sz w:val="22"/>
          <w:szCs w:val="22"/>
        </w:rPr>
        <w:t>The retry mechanism rescues 30.0% of initially failing runs, with 83.7% of successes converging on the first strategy iteration. Higher iteration counts do not improve outcomes, indicating the retry loop effectively filters rather than rehabilitates difficult tasks.</w:t>
      </w:r>
      <w:r>
        <w:br w:type="page"/>
      </w:r>
    </w:p>
    <w:p>
      <w:pPr>
        <w:pStyle w:val="Heading1"/>
        <w:spacing w:before="0" w:after="200"/>
        <w:rPr/>
      </w:pPr>
      <w:bookmarkStart w:id="36" w:name="__RefHeading___Toc1746_261423446"/>
      <w:bookmarkEnd w:id="36"/>
      <w:r>
        <w:rPr>
          <w:rFonts w:eastAsia="Arial" w:cs="Arial"/>
        </w:rPr>
        <w:t>7. Conclusion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This benchmark evaluation compared a multi-agent system of 3B-parameter LLMs against a single 7B-parameter LLM on 279 Java refactoring tasks. The multi-agent system — despite using models less than half the size — achieves comparable performance on quality metrics.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On behavioral equivalence rate (BER), the architectures are statistically tied (Single 11.5% vs. Multi 11.0%), a shift from the prior round where the multi-agent system led. Both remain far from the ceiling, underscoring that behavioral preservation is the hardest bar for both approaches.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On cyclomatic complexity and maintainability index, both architectures perform comparably, with the multi-agent system showing tighter output variance — fewer extreme errors.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On compilation success rate, the single model leads (66.9% vs. 54.0% SUCCESS-only). This gap is driven by the strategy agent's conservative abort mechanism (27.6% of runs) and is addressable through iteration budget tuning and convergence heuristic improvements. The gap is architectural, not fundamental.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On system features: the deterministic validation pipeline intercepts 40.1% of runs (intent-math dominant at 25.1%). When issues are flagged, overall resolution rate is 26.9% — 83.7% of successes converge on the first strategy iteration, and the retry mechanism rescues 30.0% of initially failing runs. Per-tier analysis shows syntax errors are the least survivable (16.7% resolve) while judge flags are most survivable (48.1%).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On computational efficiency: the multi-agent system is 3.3× slower (statistically significant at p = 1.4e-34 via Wilcoxon signed-rank test on 200 paired tasks) but operates within a smaller VRAM footprint, making it viable on consumer-grade hardware where 7B models may not fit.</w:t>
      </w:r>
    </w:p>
    <w:p>
      <w:pPr>
        <w:pStyle w:val="Normal"/>
        <w:spacing w:before="400" w:after="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Final Summary (SUCCESS-Only Where Applicable)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8"/>
        <w:gridCol w:w="2082"/>
        <w:gridCol w:w="2080"/>
        <w:gridCol w:w="2080"/>
      </w:tblGrid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Single (7B)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Multi (3B×N)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CSR (RAW, %)</w:t>
            </w:r>
          </w:p>
        </w:tc>
        <w:tc>
          <w:tcPr>
            <w:tcW w:w="20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67.74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59.86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Single +7.9pp (tunable)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CSR Medium (RAW, %)</w:t>
            </w:r>
          </w:p>
        </w:tc>
        <w:tc>
          <w:tcPr>
            <w:tcW w:w="20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64.74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61.54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Comparable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BER (SUCCESS, %)</w:t>
            </w:r>
          </w:p>
        </w:tc>
        <w:tc>
          <w:tcPr>
            <w:tcW w:w="20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11.54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11.01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Tied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Mean ΔCC (SUCCESS)</w:t>
            </w:r>
          </w:p>
        </w:tc>
        <w:tc>
          <w:tcPr>
            <w:tcW w:w="20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-0.04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-0.33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Comparable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Mean ΔMI (SUCCESS)</w:t>
            </w:r>
          </w:p>
        </w:tc>
        <w:tc>
          <w:tcPr>
            <w:tcW w:w="20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-1.67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-2.13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Comparable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Validation Interception</w:t>
            </w:r>
          </w:p>
        </w:tc>
        <w:tc>
          <w:tcPr>
            <w:tcW w:w="20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40.1%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Tier-based safety net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First-Pass Rate</w:t>
            </w:r>
          </w:p>
        </w:tc>
        <w:tc>
          <w:tcPr>
            <w:tcW w:w="20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83.7%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Strong initial planning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Retry Rescue Rate</w:t>
            </w:r>
          </w:p>
        </w:tc>
        <w:tc>
          <w:tcPr>
            <w:tcW w:w="20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30.0%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Moderate recovery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Duration (SUCCESS)</w:t>
            </w:r>
          </w:p>
        </w:tc>
        <w:tc>
          <w:tcPr>
            <w:tcW w:w="208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23.2s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77.5s</w:t>
            </w:r>
          </w:p>
        </w:tc>
        <w:tc>
          <w:tcPr>
            <w:tcW w:w="2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3.3× slower (p=1.4e-34)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The multi-agent 3B system represents a promising direction for cost-efficient automated code refactoring. Future work should prioritize: (1) reducing the strategy agent abort rate through improved plan convergence; (2) strengthening verification mechanisms to raise BER above the current ~11% baseline for both architectures; and (3) exploring hybrid routing that leverages the multi-agent system's strengths on structured intents while falling back to larger models for complex control-flow transformations.</w:t>
      </w:r>
    </w:p>
    <w:sectPr>
      <w:headerReference w:type="even" r:id="rId92"/>
      <w:headerReference w:type="default" r:id="rId93"/>
      <w:headerReference w:type="first" r:id="rId94"/>
      <w:footerReference w:type="even" r:id="rId95"/>
      <w:footerReference w:type="default" r:id="rId96"/>
      <w:footerReference w:type="first" r:id="rId9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Calibri ">
    <w:charset w:val="01"/>
    <w:family w:val="swiss"/>
    <w:pitch w:val="default"/>
  </w:font>
  <w:font w:name="Calibri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27</w:t>
    </w:r>
    <w:r>
      <w:rPr/>
      <w:fldChar w:fldCharType="end"/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27</w:t>
    </w:r>
    <w:r>
      <w:rPr/>
      <w:fldChar w:fldCharType="end"/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</w:t>
    </w:r>
    <w:r>
      <w:rPr/>
      <w:fldChar w:fldCharType="end"/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</w:t>
    </w:r>
    <w:r>
      <w:rPr/>
      <w:fldChar w:fldCharType="end"/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31</w:t>
    </w:r>
    <w:r>
      <w:rPr/>
      <w:fldChar w:fldCharType="end"/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31</w:t>
    </w:r>
    <w:r>
      <w:rPr/>
      <w:fldChar w:fldCharType="end"/>
    </w:r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>
        <w:rFonts w:eastAsia="Arial" w:cs="Arial"/>
        <w:sz w:val="22"/>
        <w:szCs w:val="22"/>
      </w:rPr>
      <w:fldChar w:fldCharType="begin"/>
    </w:r>
    <w:r>
      <w:rPr>
        <w:rFonts w:eastAsia="Arial" w:cs="Arial"/>
        <w:sz w:val="22"/>
        <w:szCs w:val="22"/>
      </w:rPr>
      <w:instrText xml:space="preserve"> PAGE </w:instrText>
    </w:r>
    <w:r>
      <w:rPr>
        <w:rFonts w:eastAsia="Arial" w:cs="Arial"/>
        <w:sz w:val="22"/>
        <w:szCs w:val="22"/>
      </w:rPr>
      <w:fldChar w:fldCharType="separate"/>
    </w:r>
    <w:r>
      <w:rPr>
        <w:rFonts w:eastAsia="Arial" w:cs="Arial"/>
        <w:sz w:val="22"/>
        <w:szCs w:val="22"/>
      </w:rPr>
      <w:t>33</w:t>
    </w:r>
    <w:r>
      <w:rPr>
        <w:rFonts w:eastAsia="Arial" w:cs="Arial"/>
        <w:sz w:val="22"/>
        <w:szCs w:val="22"/>
      </w:rPr>
      <w:fldChar w:fldCharType="end"/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>
        <w:rFonts w:eastAsia="Arial" w:cs="Arial"/>
        <w:sz w:val="22"/>
        <w:szCs w:val="22"/>
      </w:rPr>
      <w:fldChar w:fldCharType="begin"/>
    </w:r>
    <w:r>
      <w:rPr>
        <w:rFonts w:eastAsia="Arial" w:cs="Arial"/>
        <w:sz w:val="22"/>
        <w:szCs w:val="22"/>
      </w:rPr>
      <w:instrText xml:space="preserve"> PAGE </w:instrText>
    </w:r>
    <w:r>
      <w:rPr>
        <w:rFonts w:eastAsia="Arial" w:cs="Arial"/>
        <w:sz w:val="22"/>
        <w:szCs w:val="22"/>
      </w:rPr>
      <w:fldChar w:fldCharType="separate"/>
    </w:r>
    <w:r>
      <w:rPr>
        <w:rFonts w:eastAsia="Arial" w:cs="Arial"/>
        <w:sz w:val="22"/>
        <w:szCs w:val="22"/>
      </w:rPr>
      <w:t>33</w:t>
    </w:r>
    <w:r>
      <w:rPr>
        <w:rFonts w:eastAsia="Arial" w:cs="Arial"/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header3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8"/>
        <w:szCs w:val="18"/>
      </w:rPr>
      <w:t>Horizon Multi-Agent Benchmark Report</w:t>
    </w:r>
  </w:p>
</w:hdr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 " w:hAnsi="Calibri 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start="283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header" Target="header10.xml"/><Relationship Id="rId27" Type="http://schemas.openxmlformats.org/officeDocument/2006/relationships/header" Target="header11.xml"/><Relationship Id="rId28" Type="http://schemas.openxmlformats.org/officeDocument/2006/relationships/header" Target="header12.xml"/><Relationship Id="rId29" Type="http://schemas.openxmlformats.org/officeDocument/2006/relationships/footer" Target="footer10.xml"/><Relationship Id="rId30" Type="http://schemas.openxmlformats.org/officeDocument/2006/relationships/footer" Target="footer11.xml"/><Relationship Id="rId31" Type="http://schemas.openxmlformats.org/officeDocument/2006/relationships/footer" Target="footer12.xml"/><Relationship Id="rId32" Type="http://schemas.openxmlformats.org/officeDocument/2006/relationships/image" Target="media/image7.png"/><Relationship Id="rId33" Type="http://schemas.openxmlformats.org/officeDocument/2006/relationships/image" Target="media/image8.png"/><Relationship Id="rId34" Type="http://schemas.openxmlformats.org/officeDocument/2006/relationships/image" Target="media/image9.png"/><Relationship Id="rId35" Type="http://schemas.openxmlformats.org/officeDocument/2006/relationships/header" Target="header13.xml"/><Relationship Id="rId36" Type="http://schemas.openxmlformats.org/officeDocument/2006/relationships/header" Target="header14.xml"/><Relationship Id="rId37" Type="http://schemas.openxmlformats.org/officeDocument/2006/relationships/header" Target="header15.xml"/><Relationship Id="rId38" Type="http://schemas.openxmlformats.org/officeDocument/2006/relationships/footer" Target="footer13.xml"/><Relationship Id="rId39" Type="http://schemas.openxmlformats.org/officeDocument/2006/relationships/footer" Target="footer14.xml"/><Relationship Id="rId40" Type="http://schemas.openxmlformats.org/officeDocument/2006/relationships/footer" Target="footer15.xml"/><Relationship Id="rId41" Type="http://schemas.openxmlformats.org/officeDocument/2006/relationships/image" Target="media/image10.png"/><Relationship Id="rId42" Type="http://schemas.openxmlformats.org/officeDocument/2006/relationships/image" Target="media/image11.png"/><Relationship Id="rId43" Type="http://schemas.openxmlformats.org/officeDocument/2006/relationships/image" Target="media/image12.png"/><Relationship Id="rId44" Type="http://schemas.openxmlformats.org/officeDocument/2006/relationships/header" Target="header16.xml"/><Relationship Id="rId45" Type="http://schemas.openxmlformats.org/officeDocument/2006/relationships/header" Target="header17.xml"/><Relationship Id="rId46" Type="http://schemas.openxmlformats.org/officeDocument/2006/relationships/header" Target="header18.xml"/><Relationship Id="rId47" Type="http://schemas.openxmlformats.org/officeDocument/2006/relationships/footer" Target="footer16.xml"/><Relationship Id="rId48" Type="http://schemas.openxmlformats.org/officeDocument/2006/relationships/footer" Target="footer17.xml"/><Relationship Id="rId49" Type="http://schemas.openxmlformats.org/officeDocument/2006/relationships/footer" Target="footer18.xml"/><Relationship Id="rId50" Type="http://schemas.openxmlformats.org/officeDocument/2006/relationships/image" Target="media/image13.png"/><Relationship Id="rId51" Type="http://schemas.openxmlformats.org/officeDocument/2006/relationships/image" Target="media/image14.png"/><Relationship Id="rId52" Type="http://schemas.openxmlformats.org/officeDocument/2006/relationships/image" Target="media/image15.png"/><Relationship Id="rId53" Type="http://schemas.openxmlformats.org/officeDocument/2006/relationships/header" Target="header19.xml"/><Relationship Id="rId54" Type="http://schemas.openxmlformats.org/officeDocument/2006/relationships/header" Target="header20.xml"/><Relationship Id="rId55" Type="http://schemas.openxmlformats.org/officeDocument/2006/relationships/header" Target="header21.xml"/><Relationship Id="rId56" Type="http://schemas.openxmlformats.org/officeDocument/2006/relationships/footer" Target="footer19.xml"/><Relationship Id="rId57" Type="http://schemas.openxmlformats.org/officeDocument/2006/relationships/footer" Target="footer20.xml"/><Relationship Id="rId58" Type="http://schemas.openxmlformats.org/officeDocument/2006/relationships/footer" Target="footer21.xml"/><Relationship Id="rId59" Type="http://schemas.openxmlformats.org/officeDocument/2006/relationships/image" Target="media/image16.png"/><Relationship Id="rId60" Type="http://schemas.openxmlformats.org/officeDocument/2006/relationships/image" Target="media/image17.png"/><Relationship Id="rId61" Type="http://schemas.openxmlformats.org/officeDocument/2006/relationships/image" Target="media/image18.png"/><Relationship Id="rId62" Type="http://schemas.openxmlformats.org/officeDocument/2006/relationships/image" Target="media/image19.png"/><Relationship Id="rId63" Type="http://schemas.openxmlformats.org/officeDocument/2006/relationships/image" Target="media/image20.png"/><Relationship Id="rId64" Type="http://schemas.openxmlformats.org/officeDocument/2006/relationships/image" Target="media/image21.png"/><Relationship Id="rId65" Type="http://schemas.openxmlformats.org/officeDocument/2006/relationships/image" Target="media/image22.png"/><Relationship Id="rId66" Type="http://schemas.openxmlformats.org/officeDocument/2006/relationships/image" Target="media/image23.png"/><Relationship Id="rId67" Type="http://schemas.openxmlformats.org/officeDocument/2006/relationships/image" Target="media/image24.png"/><Relationship Id="rId68" Type="http://schemas.openxmlformats.org/officeDocument/2006/relationships/image" Target="media/image25.png"/><Relationship Id="rId69" Type="http://schemas.openxmlformats.org/officeDocument/2006/relationships/image" Target="media/image26.png"/><Relationship Id="rId70" Type="http://schemas.openxmlformats.org/officeDocument/2006/relationships/image" Target="media/image27.png"/><Relationship Id="rId71" Type="http://schemas.openxmlformats.org/officeDocument/2006/relationships/header" Target="header22.xml"/><Relationship Id="rId72" Type="http://schemas.openxmlformats.org/officeDocument/2006/relationships/header" Target="header23.xml"/><Relationship Id="rId73" Type="http://schemas.openxmlformats.org/officeDocument/2006/relationships/header" Target="header24.xml"/><Relationship Id="rId74" Type="http://schemas.openxmlformats.org/officeDocument/2006/relationships/footer" Target="footer22.xml"/><Relationship Id="rId75" Type="http://schemas.openxmlformats.org/officeDocument/2006/relationships/footer" Target="footer23.xml"/><Relationship Id="rId76" Type="http://schemas.openxmlformats.org/officeDocument/2006/relationships/footer" Target="footer24.xml"/><Relationship Id="rId77" Type="http://schemas.openxmlformats.org/officeDocument/2006/relationships/image" Target="media/image28.png"/><Relationship Id="rId78" Type="http://schemas.openxmlformats.org/officeDocument/2006/relationships/image" Target="media/image29.png"/><Relationship Id="rId79" Type="http://schemas.openxmlformats.org/officeDocument/2006/relationships/image" Target="media/image30.png"/><Relationship Id="rId80" Type="http://schemas.openxmlformats.org/officeDocument/2006/relationships/header" Target="header25.xml"/><Relationship Id="rId81" Type="http://schemas.openxmlformats.org/officeDocument/2006/relationships/header" Target="header26.xml"/><Relationship Id="rId82" Type="http://schemas.openxmlformats.org/officeDocument/2006/relationships/header" Target="header27.xml"/><Relationship Id="rId83" Type="http://schemas.openxmlformats.org/officeDocument/2006/relationships/footer" Target="footer25.xml"/><Relationship Id="rId84" Type="http://schemas.openxmlformats.org/officeDocument/2006/relationships/footer" Target="footer26.xml"/><Relationship Id="rId85" Type="http://schemas.openxmlformats.org/officeDocument/2006/relationships/footer" Target="footer27.xml"/><Relationship Id="rId86" Type="http://schemas.openxmlformats.org/officeDocument/2006/relationships/header" Target="header28.xml"/><Relationship Id="rId87" Type="http://schemas.openxmlformats.org/officeDocument/2006/relationships/header" Target="header29.xml"/><Relationship Id="rId88" Type="http://schemas.openxmlformats.org/officeDocument/2006/relationships/header" Target="header30.xml"/><Relationship Id="rId89" Type="http://schemas.openxmlformats.org/officeDocument/2006/relationships/footer" Target="footer28.xml"/><Relationship Id="rId90" Type="http://schemas.openxmlformats.org/officeDocument/2006/relationships/footer" Target="footer29.xml"/><Relationship Id="rId91" Type="http://schemas.openxmlformats.org/officeDocument/2006/relationships/footer" Target="footer30.xml"/><Relationship Id="rId92" Type="http://schemas.openxmlformats.org/officeDocument/2006/relationships/header" Target="header31.xml"/><Relationship Id="rId93" Type="http://schemas.openxmlformats.org/officeDocument/2006/relationships/header" Target="header32.xml"/><Relationship Id="rId94" Type="http://schemas.openxmlformats.org/officeDocument/2006/relationships/header" Target="header33.xml"/><Relationship Id="rId95" Type="http://schemas.openxmlformats.org/officeDocument/2006/relationships/footer" Target="footer31.xml"/><Relationship Id="rId96" Type="http://schemas.openxmlformats.org/officeDocument/2006/relationships/footer" Target="footer32.xml"/><Relationship Id="rId97" Type="http://schemas.openxmlformats.org/officeDocument/2006/relationships/footer" Target="footer33.xml"/><Relationship Id="rId98" Type="http://schemas.openxmlformats.org/officeDocument/2006/relationships/fontTable" Target="fontTable.xml"/><Relationship Id="rId99" Type="http://schemas.openxmlformats.org/officeDocument/2006/relationships/settings" Target="settings.xml"/><Relationship Id="rId10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LibreOffice/25.8.4.2$Linux_X86_64 LibreOffice_project/580$Build-2</Application>
  <AppVersion>15.0000</AppVersion>
  <Pages>33</Pages>
  <Words>4028</Words>
  <Characters>24798</Characters>
  <CharactersWithSpaces>28342</CharactersWithSpaces>
  <Paragraphs>544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2026-08-14T06:21:44Z</dcterms:created>
  <dc:creator>Un-named</dc:creator>
  <dc:description/>
  <dc:language>en-US</dc:language>
  <cp:lastModifiedBy/>
  <dcterms:modified xsi:type="dcterms:W3CDTF">2026-09-04T15:26:18Z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