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最低工资与就业：NJ/PA DiD</w:t>
      </w:r>
    </w:p>
    <w:p>
      <w:pPr>
        <w:pStyle w:val="Heading2"/>
      </w:pPr>
      <w:r>
        <w:t>表 1 描述统计：FTE 均值（观测数）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政策前</w:t>
            </w:r>
          </w:p>
        </w:tc>
        <w:tc>
          <w:tcPr>
            <w:tcW w:type="dxa" w:w="2880"/>
          </w:tcPr>
          <w:p>
            <w:r>
              <w:t>政策后</w:t>
            </w:r>
          </w:p>
        </w:tc>
      </w:tr>
      <w:tr>
        <w:tc>
          <w:tcPr>
            <w:tcW w:type="dxa" w:w="2880"/>
          </w:tcPr>
          <w:p>
            <w:r>
              <w:t>宾州 PA</w:t>
            </w:r>
          </w:p>
        </w:tc>
        <w:tc>
          <w:tcPr>
            <w:tcW w:type="dxa" w:w="2880"/>
          </w:tcPr>
          <w:p>
            <w:r>
              <w:t>23.33（77）</w:t>
            </w:r>
          </w:p>
        </w:tc>
        <w:tc>
          <w:tcPr>
            <w:tcW w:type="dxa" w:w="2880"/>
          </w:tcPr>
          <w:p>
            <w:r>
              <w:t>21.44（76）</w:t>
            </w:r>
          </w:p>
        </w:tc>
      </w:tr>
      <w:tr>
        <w:tc>
          <w:tcPr>
            <w:tcW w:type="dxa" w:w="2880"/>
          </w:tcPr>
          <w:p>
            <w:r>
              <w:t>新泽西 NJ</w:t>
            </w:r>
          </w:p>
        </w:tc>
        <w:tc>
          <w:tcPr>
            <w:tcW w:type="dxa" w:w="2880"/>
          </w:tcPr>
          <w:p>
            <w:r>
              <w:t>20.44（321）</w:t>
            </w:r>
          </w:p>
        </w:tc>
        <w:tc>
          <w:tcPr>
            <w:tcW w:type="dxa" w:w="2880"/>
          </w:tcPr>
          <w:p>
            <w:r>
              <w:t>21.36（314）</w:t>
            </w:r>
          </w:p>
        </w:tc>
      </w:tr>
    </w:tbl>
    <w:p>
      <w:pPr>
        <w:pStyle w:val="Heading2"/>
      </w:pPr>
      <w:r>
        <w:t>主回归与稳健性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主回归</w:t>
            </w:r>
          </w:p>
        </w:tc>
        <w:tc>
          <w:tcPr>
            <w:tcW w:type="dxa" w:w="2160"/>
          </w:tcPr>
          <w:p>
            <w:r>
              <w:t>稳健：不含管理者</w:t>
            </w:r>
          </w:p>
        </w:tc>
        <w:tc>
          <w:tcPr>
            <w:tcW w:type="dxa" w:w="2160"/>
          </w:tcPr>
          <w:p>
            <w:r>
              <w:t>稳健：按连锁聚类</w:t>
            </w:r>
          </w:p>
        </w:tc>
      </w:tr>
      <w:tr>
        <w:tc>
          <w:tcPr>
            <w:tcW w:type="dxa" w:w="2160"/>
          </w:tcPr>
          <w:p>
            <w:r>
              <w:t>系数</w:t>
            </w:r>
          </w:p>
        </w:tc>
        <w:tc>
          <w:tcPr>
            <w:tcW w:type="dxa" w:w="2160"/>
          </w:tcPr>
          <w:p>
            <w:r>
              <w:t>2.810**</w:t>
            </w:r>
          </w:p>
        </w:tc>
        <w:tc>
          <w:tcPr>
            <w:tcW w:type="dxa" w:w="2160"/>
          </w:tcPr>
          <w:p>
            <w:r>
              <w:t>2.962**</w:t>
            </w:r>
          </w:p>
        </w:tc>
        <w:tc>
          <w:tcPr>
            <w:tcW w:type="dxa" w:w="2160"/>
          </w:tcPr>
          <w:p>
            <w:r>
              <w:t>2.810**</w:t>
            </w:r>
          </w:p>
        </w:tc>
      </w:tr>
      <w:tr>
        <w:tc>
          <w:tcPr>
            <w:tcW w:type="dxa" w:w="2160"/>
          </w:tcPr>
          <w:p>
            <w:r>
              <w:t>标准误</w:t>
            </w:r>
          </w:p>
        </w:tc>
        <w:tc>
          <w:tcPr>
            <w:tcW w:type="dxa" w:w="2160"/>
          </w:tcPr>
          <w:p>
            <w:r>
              <w:t>1.293</w:t>
            </w:r>
          </w:p>
        </w:tc>
        <w:tc>
          <w:tcPr>
            <w:tcW w:type="dxa" w:w="2160"/>
          </w:tcPr>
          <w:p>
            <w:r>
              <w:t>1.282</w:t>
            </w:r>
          </w:p>
        </w:tc>
        <w:tc>
          <w:tcPr>
            <w:tcW w:type="dxa" w:w="2160"/>
          </w:tcPr>
          <w:p>
            <w:r>
              <w:t>1.315</w:t>
            </w:r>
          </w:p>
        </w:tc>
      </w:tr>
      <w:tr>
        <w:tc>
          <w:tcPr>
            <w:tcW w:type="dxa" w:w="2160"/>
          </w:tcPr>
          <w:p>
            <w:r>
              <w:t>样本量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</w:tr>
    </w:tbl>
    <w:p>
      <w:r>
        <w:t>稳健性小结：各口径符号与显著性一致。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