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5F4F0"/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B" w:val="clear"/>
            <w:tcMar>
              <w:top w:type="dxa" w:w="520"/>
              <w:left w:type="dxa" w:w="420"/>
              <w:bottom w:type="dxa" w:w="520"/>
              <w:right w:type="dxa" w:w="420"/>
            </w:tcMar>
          </w:tcPr>
          <w:p>
            <w:r>
              <w:drawing>
                <wp:inline distT="0" distB="0" distL="0" distR="0">
                  <wp:extent cx="285750" cy="285750"/>
                  <wp:effectExtent t="0" r="0" b="0" l="0"/>
                  <wp:docPr id="1" name="mark" descr="The Gentry Lab mark" title="TG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   THE GENTRY LAB</w:t>
            </w:r>
          </w:p>
          <w:p>
            <w:pPr>
              <w:spacing w:after="40" w:before="260"/>
            </w:pPr>
            <w:r>
              <w:rPr>
                <w:rFonts w:ascii="Consolas" w:cs="Consolas" w:eastAsia="Consolas" w:hAnsi="Consolas"/>
                <w:b/>
                <w:bCs/>
                <w:color w:val="CC3300"/>
                <w:sz w:val="16"/>
                <w:szCs w:val="16"/>
              </w:rPr>
              <w:t xml:space="preserve">BRAND &amp; REPORT STYLE GUIDE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THE GENTRY LAB</w:t>
            </w:r>
          </w:p>
          <w:p>
            <w:pPr>
              <w:spacing w:after="220"/>
            </w:pPr>
            <w:r>
              <w:rPr>
                <w:rFonts w:ascii="Arial" w:cs="Arial" w:eastAsia="Arial" w:hAnsi="Arial"/>
                <w:color w:val="D8D8D8"/>
                <w:sz w:val="22"/>
                <w:szCs w:val="22"/>
              </w:rPr>
              <w:t xml:space="preserve">Cambodia Industrial Development Intelligence &amp; Advisory Platform</w:t>
            </w:r>
          </w:p>
          <w:p>
            <w:pPr>
              <w:spacing w:before="160"/>
            </w:pPr>
            <w:r>
              <w:rPr>
                <w:rFonts w:ascii="Consolas" w:cs="Consolas" w:eastAsia="Consolas" w:hAnsi="Consolas"/>
                <w:b/>
                <w:bCs/>
                <w:color w:val="CC3300"/>
                <w:sz w:val="15"/>
                <w:szCs w:val="15"/>
              </w:rPr>
              <w:t xml:space="preserve">INTERNAL REFERENCE   </w:t>
            </w:r>
            <w:r>
              <w:rPr>
                <w:rFonts w:ascii="Consolas" w:cs="Consolas" w:eastAsia="Consolas" w:hAnsi="Consolas"/>
                <w:color w:val="9A9A9A"/>
                <w:sz w:val="15"/>
                <w:szCs w:val="15"/>
              </w:rPr>
              <w:t xml:space="preserve">·  v2.0  ·  July 10, 2026</w:t>
            </w:r>
          </w:p>
        </w:tc>
      </w:tr>
    </w:tbl>
    <w:p>
      <w:pPr>
        <w:pBdr>
          <w:bottom w:val="single" w:color="CC3300" w:sz="24" w:space="0"/>
        </w:pBdr>
        <w:spacing w:after="280" w:before="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This guide documents two things: the platform's identity (logo, palette, type), and the bold, chart-forward report language modeled on The Gentry Lab's own AI Industrial Advisor report — built to read like an ADB, IFC, or World Bank publication. Use it for anything with the TGL name on it.</w:t>
      </w:r>
    </w:p>
    <w:p>
      <w:r>
        <w:br w:type="page"/>
      </w:r>
    </w:p>
    <w:p>
      <w:pPr>
        <w:pStyle w:val="Heading1"/>
      </w:pPr>
      <w:r>
        <w:t xml:space="preserve">1. Brand Overview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The Gentry Lab is an industrial development intelligence and advisory platform for foreign investors, manufacturers, landowners, and development banks navigating Cambodia's industrial landscape. Every document that leaves the firm is a data product first and a piece of writing second. The brand exists to make that data trustworthy — and impressive — at a glance.</w:t>
      </w:r>
    </w:p>
    <w:p>
      <w:pPr>
        <w:pStyle w:val="Heading2"/>
      </w:pPr>
      <w:r>
        <w:t xml:space="preserve">What we produce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Site advisory briefs — suitability scoring, strengths, constraints, recommendation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Sector and research briefs — cost benchmarks, regulatory guides, flood-risk atlases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The AI Industrial Advisor report — a full multi-page, development-bank-style document generated in-app</w:t>
      </w:r>
    </w:p>
    <w:p>
      <w:pPr>
        <w:pStyle w:val="Heading2"/>
      </w:pPr>
      <w:r>
        <w:t xml:space="preserve">Advisory services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Land selection &amp; SEZ feasibility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Technical due diligence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Permit navigation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Project delivery &amp; EPC management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71717A"/>
          <w:sz w:val="19"/>
          <w:szCs w:val="19"/>
        </w:rPr>
        <w:t xml:space="preserve">Contact: thegentrylab.com · Phnom Penh, Cambodia</w:t>
      </w:r>
    </w:p>
    <w:p>
      <w:pPr>
        <w:pStyle w:val="Heading1"/>
      </w:pPr>
      <w:r>
        <w:t xml:space="preserve">2. Logo &amp; Mark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The mark is a geometric “G” built from six flat shapes — no gradients, no drop shadows, no rotation.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20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square-mark" descr="Square app icon mark" title="Square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Square mark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71717A"/>
                <w:sz w:val="15"/>
                <w:szCs w:val="15"/>
              </w:rPr>
              <w:t xml:space="preserve">App icons, cover bands, favicon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20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14350" cy="514350"/>
                  <wp:effectExtent t="0" r="0" b="0" l="0"/>
                  <wp:docPr id="1" name="mark-only" descr="Transparent mark for light backgrounds" title="Mark on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 only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71717A"/>
                <w:sz w:val="15"/>
                <w:szCs w:val="15"/>
              </w:rPr>
              <w:t xml:space="preserve">Letterheads, watermarks, light backgrounds</w:t>
            </w:r>
          </w:p>
        </w:tc>
      </w:tr>
    </w:tbl>
    <w:p>
      <w:pPr>
        <w:spacing w:before="220"/>
      </w:pPr>
      <w:r>
        <w:t xml:space="preserve"/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Never recolor, stretch, rotate, or add effects to the mark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Minimum clear space = the height of the mark itself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Below 16px / 0.2in, use the wordmark “TGL” in bold instead</w:t>
      </w:r>
    </w:p>
    <w:p>
      <w:r>
        <w:br w:type="page"/>
      </w:r>
    </w:p>
    <w:p>
      <w:pPr>
        <w:pStyle w:val="Heading1"/>
      </w:pPr>
      <w:r>
        <w:t xml:space="preserve">3. Color Palette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Core brand tokens, pulled directly from the platform's design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Swatch</w:t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Brand Black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#0A0A0B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Cover bands, headings, primary ink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F51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Brand Accent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#FF5100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Rules, tags, primary highlight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CC33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Accent Deep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#CC3300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Key numbers, score callouts, recommendation quotes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71717A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Brand Muted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#71717A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Captions, metadata, source lines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FF3E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Table Tint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#FFF3EE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Pale table-header fill (from the AI report)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AFAF9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Stone 50 / 200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#FAFAF9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Card backgrounds / borders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F5F4F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Page Background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#F5F4F0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Report page background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</w:pPr>
      <w:r>
        <w:t xml:space="preserve">Categorical palette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Five colors that code a section or report by subject — lifted directly from the AI Industrial Advisor's own category system (PCOLS). Use one per report or per section, consistently, so a reader can tell what they're looking at from the color alone before reading a word.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3360"/>
      </w:tblGrid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CC33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Investment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#CC3300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Site briefs, deal-facing content, financial commitment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1A5C9E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#1A5C9E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Utilities, logistics, technical due diligence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217A4B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Environmental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#217A4B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Sustainability, flood risk, compliance-positive findings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7B3FA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Legal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#7B3FA0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Regulatory, permits, risk &amp; considerations</w:t>
            </w:r>
          </w:p>
        </w:tc>
      </w:tr>
      <w:tr>
        <w:tc>
          <w:tcPr>
            <w:tcW w:type="dxa" w:w="1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B86E00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1110"/>
                <w:sz w:val="19"/>
                <w:szCs w:val="19"/>
              </w:rPr>
              <w:t xml:space="preserve">Finance</w:t>
            </w:r>
          </w:p>
        </w:tc>
        <w:tc>
          <w:tcPr>
            <w:tcW w:type="dxa" w:w="180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color w:val="71717A"/>
                <w:sz w:val="18"/>
                <w:szCs w:val="18"/>
              </w:rPr>
              <w:t xml:space="preserve">#B86E00</w:t>
            </w:r>
          </w:p>
        </w:tc>
        <w:tc>
          <w:tcPr>
            <w:tcW w:type="dxa" w:w="33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Cost benchmarks, economics, key figures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Typography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Inter / JetBrains Mono on the web; Arial / Consolas in Word documents (Inter isn't reliably installed on reader machines — Arial keeps every report looking identical everywhere). Headlines and key numbers run bold and large — this is a heavy, confident register, not a delicate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shd w:fill="0A0A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 / Notes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Cover title</w:t>
            </w:r>
          </w:p>
        </w:tc>
        <w:tc>
          <w:tcPr>
            <w:tcW w:type="dxa" w:w="15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1717A"/>
                <w:sz w:val="17"/>
                <w:szCs w:val="17"/>
              </w:rPr>
              <w:t xml:space="preserve">36–46pt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Bold, white on black cover band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Key-stat number</w:t>
            </w:r>
          </w:p>
        </w:tc>
        <w:tc>
          <w:tcPr>
            <w:tcW w:type="dxa" w:w="15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1717A"/>
                <w:sz w:val="17"/>
                <w:szCs w:val="17"/>
              </w:rPr>
              <w:t xml:space="preserve">28–32pt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Bold, categorical color, never black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Report title (H1)</w:t>
            </w:r>
          </w:p>
        </w:tc>
        <w:tc>
          <w:tcPr>
            <w:tcW w:type="dxa" w:w="15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1717A"/>
                <w:sz w:val="17"/>
                <w:szCs w:val="17"/>
              </w:rPr>
              <w:t xml:space="preserve">22–24pt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Bold, black, orange rule beneath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Section heading (H2)</w:t>
            </w:r>
          </w:p>
        </w:tc>
        <w:tc>
          <w:tcPr>
            <w:tcW w:type="dxa" w:w="15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1717A"/>
                <w:sz w:val="17"/>
                <w:szCs w:val="17"/>
              </w:rPr>
              <w:t xml:space="preserve">13–14pt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Bold, black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Body copy</w:t>
            </w:r>
          </w:p>
        </w:tc>
        <w:tc>
          <w:tcPr>
            <w:tcW w:type="dxa" w:w="15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1717A"/>
                <w:sz w:val="17"/>
                <w:szCs w:val="17"/>
              </w:rPr>
              <w:t xml:space="preserve">10.5–11pt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Regular, black</w:t>
            </w:r>
          </w:p>
        </w:tc>
      </w:tr>
      <w:tr>
        <w:tc>
          <w:tcPr>
            <w:tcW w:type="dxa" w:w="312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Caption / footnote / mono labels</w:t>
            </w:r>
          </w:p>
        </w:tc>
        <w:tc>
          <w:tcPr>
            <w:tcW w:type="dxa" w:w="156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71717A"/>
                <w:sz w:val="17"/>
                <w:szCs w:val="17"/>
              </w:rPr>
              <w:t xml:space="preserve">8–9pt</w:t>
            </w:r>
          </w:p>
        </w:tc>
        <w:tc>
          <w:tcPr>
            <w:tcW w:type="dxa" w:w="4680"/>
            <w:tcBorders>
              <w:top w:val="single" w:color="E7E5E4" w:sz="2"/>
              <w:left w:val="single" w:color="E7E5E4" w:sz="2"/>
              <w:bottom w:val="single" w:color="E7E5E4" w:sz="2"/>
              <w:right w:val="single" w:color="E7E5E4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0"/>
                <w:sz w:val="18"/>
                <w:szCs w:val="18"/>
              </w:rPr>
              <w:t xml:space="preserve">Regular, muted, monospace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Labels, tags, refs, and captions are always set in monospace — it signals “data,” not “prose.”</w:t>
      </w:r>
    </w:p>
    <w:p>
      <w:r>
        <w:br w:type="page"/>
      </w:r>
    </w:p>
    <w:p>
      <w:pPr>
        <w:pStyle w:val="Heading1"/>
      </w:pPr>
      <w:r>
        <w:t xml:space="preserve">5. Report Design Language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Every multi-page report opens with the same four elements, in this order — modeled on the platform's own AI Industrial Advisor report and on ADB / IFC / World Bank publication conventions.</w:t>
      </w:r>
    </w:p>
    <w:p>
      <w:pPr>
        <w:pStyle w:val="Heading2"/>
      </w:pPr>
      <w:r>
        <w:t xml:space="preserve">A. Cover band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A full-width black band holding: logo + wordmark, an eyebrow label, a large bold title, an optional subtitle, and a metadata line (category badge · reference number · date). A thick categorical-color rule runs beneath it — the single strongest visual cue in the whole document.</w:t>
      </w:r>
    </w:p>
    <w:p>
      <w:pPr>
        <w:pStyle w:val="Heading2"/>
      </w:pPr>
      <w:r>
        <w:t xml:space="preserve">B. Key-stat row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Immediately after the cover, 3–4 stat cards in a row — big bold number, categorical-color left rule, mono label underneath. This is the “read this in five seconds” layer.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7E5E4" w:sz="2"/>
              <w:left w:val="single" w:color="CC33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88/100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SUITABILITY SCORE</w:t>
            </w:r>
          </w:p>
        </w:tc>
        <w:tc>
          <w:tcPr>
            <w:tcW w:type="dxa" w:w="3120"/>
            <w:tcBorders>
              <w:top w:val="single" w:color="E7E5E4" w:sz="2"/>
              <w:left w:val="single" w:color="1A5C9E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115kV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POWER GRID FEED</w:t>
            </w:r>
          </w:p>
        </w:tc>
        <w:tc>
          <w:tcPr>
            <w:tcW w:type="dxa" w:w="3120"/>
            <w:tcBorders>
              <w:top w:val="single" w:color="E7E5E4" w:sz="2"/>
              <w:left w:val="single" w:color="B86E00" w:sz="20"/>
              <w:bottom w:val="single" w:color="E7E5E4" w:sz="2"/>
              <w:right w:val="single" w:color="E7E5E4" w:sz="2"/>
            </w:tcBorders>
            <w:shd w:fill="FAFAF9" w:val="clear"/>
            <w:tcMar>
              <w:top w:type="dxa" w:w="180"/>
              <w:left w:type="dxa" w:w="20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B"/>
                <w:sz w:val="40"/>
                <w:szCs w:val="40"/>
              </w:rPr>
              <w:t xml:space="preserve">$2.4M</w:t>
            </w:r>
          </w:p>
          <w:p>
            <w:pPr>
              <w:spacing w:before="40"/>
            </w:pPr>
            <w:r>
              <w:rPr>
                <w:rFonts w:ascii="Consolas" w:cs="Consolas" w:eastAsia="Consolas" w:hAnsi="Consolas"/>
                <w:color w:val="71717A"/>
                <w:sz w:val="14"/>
                <w:szCs w:val="14"/>
              </w:rPr>
              <w:t xml:space="preserve">EST. LAND PREMIUM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</w:pPr>
      <w:r>
        <w:t xml:space="preserve">C. Charts, not just tables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Every quantitative section gets a chart before its data table — bar charts for comparisons and readiness indices, line charts for trends, a donut for single scores. Brand orange is the primary series; blue is the comparison series when two are shown. Keep gridlines light, remove chart borders, label bars/points directly rather than relying on a legend where possible. Example:</w:t>
      </w:r>
    </w:p>
    <w:p>
      <w:pPr>
        <w:spacing w:before="120"/>
        <w:jc w:val="center"/>
      </w:pPr>
      <w:r>
        <w:drawing>
          <wp:inline distT="0" distB="0" distL="0" distR="0">
            <wp:extent cx="4572000" cy="2286000"/>
            <wp:effectExtent t="0" r="0" b="0" l="0"/>
            <wp:docPr id="1" name="chart-infra-readiness.png" descr="Bar chart — categorical comparison" title="Bar chart — categorical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onsolas" w:cs="Consolas" w:eastAsia="Consolas" w:hAnsi="Consolas"/>
          <w:color w:val="71717A"/>
          <w:sz w:val="15"/>
          <w:szCs w:val="15"/>
        </w:rPr>
        <w:t xml:space="preserve">Bar chart — categorical comparison</w:t>
      </w:r>
    </w:p>
    <w:p>
      <w:pPr>
        <w:pStyle w:val="Heading2"/>
      </w:pPr>
      <w:r>
        <w:t xml:space="preserve">D. Section tabs, pull-quotes, disclaimer footer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Each major section opens with a small colored-square tab (■ SECTION NAME) in its categorical color — a rhythm that lets a reader navigate by color down the page edge. Recommendations and key takeaways are set as pull-quotes: bold italic text against a thick categorical-color left rule, never buried in a paragraph.</w:t>
      </w:r>
    </w:p>
    <w:p>
      <w:pPr>
        <w:spacing w:after="20" w:before="200"/>
      </w:pPr>
      <w:r>
        <w:rPr>
          <w:rFonts w:ascii="Arial" w:cs="Arial" w:eastAsia="Arial" w:hAnsi="Arial"/>
          <w:b/>
          <w:bCs/>
          <w:color w:val="7B3FA0"/>
          <w:sz w:val="17"/>
          <w:szCs w:val="17"/>
        </w:rPr>
        <w:t xml:space="preserve">■ </w:t>
      </w:r>
      <w:r>
        <w:rPr>
          <w:rFonts w:ascii="Consolas" w:cs="Consolas" w:eastAsia="Consolas" w:hAnsi="Consolas"/>
          <w:b/>
          <w:bCs/>
          <w:color w:val="7B3FA0"/>
          <w:sz w:val="15"/>
          <w:szCs w:val="15"/>
        </w:rPr>
        <w:t xml:space="preserve">EXAMPLE SECTION TAB</w:t>
      </w:r>
    </w:p>
    <w:p>
      <w:pPr>
        <w:pBdr>
          <w:left w:val="single" w:color="CC3300" w:sz="24" w:space="12"/>
        </w:pBdr>
        <w:spacing w:after="220" w:before="220"/>
        <w:ind w:left="320"/>
      </w:pPr>
      <w:r>
        <w:rPr>
          <w:rFonts w:ascii="Arial" w:cs="Arial" w:eastAsia="Arial" w:hAnsi="Arial"/>
          <w:b/>
          <w:bCs/>
          <w:i/>
          <w:iCs/>
          <w:color w:val="0A0A0B"/>
          <w:sz w:val="26"/>
          <w:szCs w:val="26"/>
        </w:rPr>
        <w:t xml:space="preserve">This is a pull-quote — the sentence a reader should be able to screenshot on its own.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Every content page carries a running header (logo mark · “AI INDUSTRIAL ADVISOR” · report title) and a footer with copyright, page number, and a one-line disclaimer: “AI-assisted advisory. Verify independently.” Long reports (4+ sections) open with a styled Contents page — roman numerals, categorical color per line, dot leaders — instead of a plain Word table of contents.</w:t>
      </w:r>
    </w:p>
    <w:p>
      <w:r>
        <w:br w:type="page"/>
      </w:r>
    </w:p>
    <w:p>
      <w:pPr>
        <w:pStyle w:val="Heading1"/>
      </w:pPr>
      <w:r>
        <w:t xml:space="preserve">6. Voice &amp; Tone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The Gentry Lab writes like an engineer briefing an investment committee: specific, sourced, and willing to commit to a recommendation.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Lead with the number, not the adjective — “115kV direct feed” beats “excellent power infrastructure”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Commit to a recommendation — hedge on the evidence, not on the conclusion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Name the constraint as plainly as the strength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Use industry terms of art without translating them (SEZ, EPC, MNC, bonded warehouse)</w:t>
      </w:r>
    </w:p>
    <w:p>
      <w:pPr>
        <w:pStyle w:val="Heading2"/>
      </w:pPr>
      <w:r>
        <w:t xml:space="preserve">Do</w:t>
      </w:r>
    </w:p>
    <w:p>
      <w:pPr>
        <w:pBdr>
          <w:left w:val="single" w:color="FF5100" w:sz="12" w:space="8"/>
        </w:pBdr>
        <w:spacing w:after="200"/>
        <w:ind w:left="260"/>
      </w:pPr>
      <w:r>
        <w:rPr>
          <w:rFonts w:ascii="Arial" w:cs="Arial" w:eastAsia="Arial" w:hAnsi="Arial"/>
          <w:i/>
          <w:iCs/>
          <w:color w:val="111110"/>
          <w:sz w:val="20"/>
          <w:szCs w:val="20"/>
        </w:rPr>
        <w:t xml:space="preserve">“First-choice location for export-oriented light manufacturing requiring reliable utilities and immediate logistics access. Best suited for MNC anchor tenants or JV structures requiring proximity to capital.”</w:t>
      </w:r>
    </w:p>
    <w:p>
      <w:pPr>
        <w:pStyle w:val="Heading2"/>
      </w:pPr>
      <w:r>
        <w:t xml:space="preserve">Don't</w:t>
      </w:r>
    </w:p>
    <w:p>
      <w:pPr>
        <w:pBdr>
          <w:left w:val="single" w:color="A8A29E" w:sz="12" w:space="8"/>
        </w:pBdr>
        <w:spacing w:after="200"/>
        <w:ind w:left="260"/>
      </w:pPr>
      <w:r>
        <w:rPr>
          <w:rFonts w:ascii="Arial" w:cs="Arial" w:eastAsia="Arial" w:hAnsi="Arial"/>
          <w:i/>
          <w:iCs/>
          <w:color w:val="71717A"/>
          <w:sz w:val="20"/>
          <w:szCs w:val="20"/>
        </w:rPr>
        <w:t xml:space="preserve">“This is a really promising site with a lot of potential that investors should definitely take a closer look at.”</w:t>
      </w:r>
    </w:p>
    <w:p>
      <w:pPr>
        <w:spacing w:after="120"/>
      </w:pPr>
      <w:r>
        <w:rPr>
          <w:rFonts w:ascii="Consolas" w:cs="Consolas" w:eastAsia="Consolas" w:hAnsi="Consolas"/>
          <w:color w:val="71717A"/>
          <w:sz w:val="16"/>
          <w:szCs w:val="16"/>
        </w:rPr>
        <w:t xml:space="preserve">Standard disclaimer: “Data is illustrative based on public information from CDC, the SEZ Board of Cambodia, EDC, and MPWT. Verify all information before making investment decisions.”</w:t>
      </w:r>
    </w:p>
    <w:p>
      <w:r>
        <w:br w:type="page"/>
      </w:r>
    </w:p>
    <w:p>
      <w:pPr>
        <w:pStyle w:val="Heading1"/>
      </w:pPr>
      <w:r>
        <w:t xml:space="preserve">7. Available Templates &amp; Assets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Live in the Brand folder alongside this guide: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Site Advisory Brief — cover band, key stats, score donut, infrastructure bar chart, strengths/constraints, recommendation pull-quote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General Research Report — cover band, styled Contents page, trend + comparison charts, risks, recommendation, sources</w:t>
      </w:r>
    </w:p>
    <w:p>
      <w:pPr>
        <w:spacing w:after="90"/>
        <w:ind w:left="260" w:hanging="260"/>
      </w:pPr>
      <w:r>
        <w:rPr>
          <w:rFonts w:ascii="Arial" w:cs="Arial" w:eastAsia="Arial" w:hAnsi="Arial"/>
          <w:b/>
          <w:bCs/>
          <w:color w:val="FF5100"/>
          <w:sz w:val="16"/>
          <w:szCs w:val="16"/>
        </w:rPr>
        <w:t xml:space="preserve">■  </w:t>
      </w:r>
      <w:r>
        <w:rPr>
          <w:rFonts w:ascii="Arial" w:cs="Arial" w:eastAsia="Arial" w:hAnsi="Arial"/>
          <w:color w:val="111110"/>
          <w:sz w:val="21"/>
          <w:szCs w:val="21"/>
        </w:rPr>
        <w:t xml:space="preserve">assets/ — logo-square.png, logo-mark.png, and the chart PNGs used above (regenerate with brand/make_charts.py using real data)</w:t>
      </w:r>
    </w:p>
    <w:p>
      <w:pPr>
        <w:spacing w:after="160"/>
      </w:pPr>
      <w:r>
        <w:rPr>
          <w:rFonts w:ascii="Arial" w:cs="Arial" w:eastAsia="Arial" w:hAnsi="Arial"/>
          <w:color w:val="111110"/>
          <w:sz w:val="21"/>
          <w:szCs w:val="21"/>
        </w:rPr>
        <w:t xml:space="preserve">Start every new report from one of these two files rather than a blank document.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onsolas" w:cs="Consolas" w:eastAsia="Consolas" w:hAnsi="Consolas"/>
        <w:color w:val="71717A"/>
        <w:sz w:val="14"/>
        <w:szCs w:val="14"/>
      </w:rPr>
      <w:t xml:space="preserve">The Gentry Lab · Confidential</w:t>
    </w:r>
    <w:r>
      <w:rPr>
        <w:rFonts w:ascii="Consolas" w:cs="Consolas" w:eastAsia="Consolas" w:hAnsi="Consolas"/>
        <w:color w:val="71717A"/>
        <w:sz w:val="14"/>
        <w:szCs w:val="14"/>
      </w:rPr>
      <w:t xml:space="preserve">	Page </w:t>
    </w:r>
    <w:r>
      <w:rPr>
        <w:rFonts w:ascii="Consolas" w:cs="Consolas" w:eastAsia="Consolas" w:hAnsi="Consolas"/>
        <w:color w:val="71717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5E4" w:sz="4" w:space="4"/>
      </w:pBdr>
      <w:tabs>
        <w:tab w:val="right" w:pos="9026"/>
      </w:tabs>
    </w:pPr>
    <w:r>
      <w:rPr>
        <w:rFonts w:ascii="Consolas" w:cs="Consolas" w:eastAsia="Consolas" w:hAnsi="Consolas"/>
        <w:color w:val="71717A"/>
        <w:sz w:val="14"/>
        <w:szCs w:val="14"/>
      </w:rPr>
      <w:t xml:space="preserve">THE GENTRY LAB</w:t>
    </w:r>
    <w:r>
      <w:rPr>
        <w:rFonts w:ascii="Consolas" w:cs="Consolas" w:eastAsia="Consolas" w:hAnsi="Consolas"/>
        <w:color w:val="71717A"/>
        <w:sz w:val="14"/>
        <w:szCs w:val="14"/>
      </w:rPr>
      <w:t xml:space="preserve">	Brand &amp; Report Style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60"/>
      </w:pPr>
      <w:rPr>
        <w:rFonts w:ascii="Arial" w:cs="Arial" w:eastAsia="Arial" w:hAnsi="Arial"/>
        <w:color w:val="FF510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5100" w:sz="8" w:space="6"/>
      </w:pBdr>
      <w:spacing w:after="200" w:before="420"/>
      <w:outlineLvl w:val="0"/>
    </w:pPr>
    <w:rPr>
      <w:rFonts w:ascii="Arial" w:cs="Arial" w:eastAsia="Arial" w:hAnsi="Arial"/>
      <w:b/>
      <w:bCs/>
      <w:color w:val="0A0A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A0A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ad43b1f29eee6dc6c3082313224159fc599141.png"/><Relationship Id="rId10" Type="http://schemas.openxmlformats.org/officeDocument/2006/relationships/image" Target="media/256795a5c34aced4251c801de997a6ef1870329d.png"/><Relationship Id="rId11" Type="http://schemas.openxmlformats.org/officeDocument/2006/relationships/image" Target="media/ae5215eccfd65b37370b9d4ae21df90c2e7d33d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2026-07-10T15:47:36.093Z</dcterms:created>
  <dcterms:modified xsi:type="dcterms:W3CDTF">2026-07-10T15:47:36.093Z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