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4F0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520"/>
              <w:left w:type="dxa" w:w="420"/>
              <w:bottom w:type="dxa" w:w="520"/>
              <w:right w:type="dxa" w:w="42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mark" descr="The Gentry Lab mark" title="TG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   THE GENTRY LAB</w:t>
            </w:r>
          </w:p>
          <w:p>
            <w:pPr>
              <w:spacing w:after="40" w:before="260"/>
            </w:pPr>
            <w:r>
              <w:rPr>
                <w:rFonts w:ascii="Consolas" w:cs="Consolas" w:eastAsia="Consolas" w:hAnsi="Consolas"/>
                <w:b/>
                <w:bCs/>
                <w:color w:val="7B3FA0"/>
                <w:sz w:val="16"/>
                <w:szCs w:val="16"/>
              </w:rPr>
              <w:t xml:space="preserve">MACRO &amp; EXTERNAL FACTORS BRIEF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Cambodia External Factors Outlook 2026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D8D8D8"/>
                <w:sz w:val="22"/>
                <w:szCs w:val="22"/>
              </w:rPr>
              <w:t xml:space="preserve">Trade policy, growth, capital flows, and cross-border risk — the forces shaping investment decisions from outside Cambodia's borders</w:t>
            </w:r>
          </w:p>
          <w:p>
            <w:pPr>
              <w:spacing w:before="160"/>
            </w:pPr>
            <w:r>
              <w:rPr>
                <w:rFonts w:ascii="Consolas" w:cs="Consolas" w:eastAsia="Consolas" w:hAnsi="Consolas"/>
                <w:b/>
                <w:bCs/>
                <w:color w:val="7B3FA0"/>
                <w:sz w:val="15"/>
                <w:szCs w:val="15"/>
              </w:rPr>
              <w:t xml:space="preserve">PESTEL ANALYSIS   </w:t>
            </w:r>
            <w:r>
              <w:rPr>
                <w:rFonts w:ascii="Consolas" w:cs="Consolas" w:eastAsia="Consolas" w:hAnsi="Consolas"/>
                <w:color w:val="9A9A9A"/>
                <w:sz w:val="15"/>
                <w:szCs w:val="15"/>
              </w:rPr>
              <w:t xml:space="preserve">·  REF: TGL-MEF-01  ·  August 2026</w:t>
            </w:r>
          </w:p>
        </w:tc>
      </w:tr>
    </w:tbl>
    <w:p>
      <w:pPr>
        <w:pBdr>
          <w:bottom w:val="single" w:color="7B3FA0" w:sz="24" w:space="0"/>
        </w:pBdr>
        <w:spacing w:after="280" w:before="0"/>
      </w:pPr>
      <w:r>
        <w:t xml:space="preserve"/>
      </w:r>
    </w:p>
    <w:p>
      <w:pPr>
        <w:spacing w:after="400" w:before="60"/>
        <w:jc w:val="center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Prepared for Investors, Developers &amp; Institutional Partners   ·   The Gentry Lab Research</w:t>
      </w:r>
    </w:p>
    <w:p>
      <w:pPr>
        <w:pStyle w:val="Heading1"/>
      </w:pPr>
      <w:r>
        <w:t xml:space="preserve">Contents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B86E00"/>
          <w:sz w:val="19"/>
          <w:szCs w:val="19"/>
        </w:rPr>
        <w:t xml:space="preserve">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Executive Summary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7B3FA0"/>
          <w:sz w:val="19"/>
          <w:szCs w:val="19"/>
        </w:rPr>
        <w:t xml:space="preserve">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External Factor Landscape (PESTEL)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9"/>
          <w:szCs w:val="19"/>
        </w:rPr>
        <w:t xml:space="preserve">III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Deep Dive — U.S. Tariff Reset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7B3FA0"/>
          <w:sz w:val="19"/>
          <w:szCs w:val="19"/>
        </w:rPr>
        <w:t xml:space="preserve">IV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Deep Dive — Border Conflict Aftermath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1A5C9E"/>
          <w:sz w:val="19"/>
          <w:szCs w:val="19"/>
        </w:rPr>
        <w:t xml:space="preserve">V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Regional Comparison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7B3FA0"/>
          <w:sz w:val="19"/>
          <w:szCs w:val="19"/>
        </w:rPr>
        <w:t xml:space="preserve">VI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Risk Exposure Ratings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9"/>
          <w:szCs w:val="19"/>
        </w:rPr>
        <w:t xml:space="preserve">VII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Implications &amp; Recommendation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217A4B"/>
          <w:sz w:val="19"/>
          <w:szCs w:val="19"/>
        </w:rPr>
        <w:t xml:space="preserve">VIII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Sources &amp; Disclaimer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B86E00"/>
          <w:sz w:val="15"/>
          <w:szCs w:val="15"/>
        </w:rPr>
        <w:t xml:space="preserve">I · EXECUTIVE SUMMARY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Cambodia enters the second half of 2026 with a more favorable external trade position than either of its two closest apparel-sector rivals, but a domestic growth picture that has softened. Following a February 2026 U.S. Supreme Court ruling that struck down the legal basis for the 2025 IEEPA tariffs, Cambodia's effective U.S. tariff rate has settled near a capped 19% — below Bangladesh's 25.6% and well below Vietnam's 28.1% as of late July 2026. That relative advantage, plus a new three-year U.S. duty-free Tariff Rate Quota for qualifying textile exports, gives Cambodia a real opening to capture sourcing reallocation from Vietnam over the next 12–18 months.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Set against that trade tailwind are three headwinds worth underwriting into any 2026 decision: a downgraded growth outlook (World Bank cut its 2026 forecast to 3.9% from 4.3%, IMF near 4.0%), a still-unresolved economic drag from the 2025 Cambodia–Thailand border conflict that closed roughly $5.6 billion in overland trade routes before the December 2025 ceasefire, and a widening minimum-wage gap with worker expectations that keeps labor relations a live compliance issue for garment-sector tenants. China remains the single largest external variable in either direction — the largest source of both FDI (46.8% of Q1 2026 inflows) and bilateral trade — meaning Cambodia's growth trajectory is now more tied to Beijing's investment cycle than to any other external actor.</w:t>
      </w:r>
    </w:p>
    <w:p>
      <w:pPr>
        <w:pBdr>
          <w:left w:val="single" w:color="B86E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Cambodia's 2026 external position is a tariff-driven opportunity riding on top of a growth slowdown and an unresolved border conflict — the trade story is better than it looks, the growth story is softer than it looks.</w:t>
      </w:r>
    </w:p>
    <w:p>
      <w:pPr>
        <w:pStyle w:val="Heading2"/>
      </w:pPr>
      <w:r>
        <w:t xml:space="preserve">Key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7E5E4" w:sz="2"/>
              <w:left w:val="single" w:color="CC33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19%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US TARIFF CAP (VS 28.1% VN)</w:t>
            </w:r>
          </w:p>
        </w:tc>
        <w:tc>
          <w:tcPr>
            <w:tcW w:type="dxa" w:w="2340"/>
            <w:tcBorders>
              <w:top w:val="single" w:color="E7E5E4" w:sz="2"/>
              <w:left w:val="single" w:color="B86E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3.9%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2026F GDP GROWTH (WORLD BANK)</w:t>
            </w:r>
          </w:p>
        </w:tc>
        <w:tc>
          <w:tcPr>
            <w:tcW w:type="dxa" w:w="2340"/>
            <w:tcBorders>
              <w:top w:val="single" w:color="E7E5E4" w:sz="2"/>
              <w:left w:val="single" w:color="7B3FA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$210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2026 GARMENT MIN. WAGE / MO</w:t>
            </w:r>
          </w:p>
        </w:tc>
        <w:tc>
          <w:tcPr>
            <w:tcW w:type="dxa" w:w="2340"/>
            <w:tcBorders>
              <w:top w:val="single" w:color="E7E5E4" w:sz="2"/>
              <w:left w:val="single" w:color="1A5C9E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46.8%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CHINA SHARE OF Q1 2026 FDI</w:t>
            </w:r>
          </w:p>
        </w:tc>
      </w:tr>
    </w:tbl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II · EXTERNAL FACTOR LANDSCAPE</w:t>
      </w:r>
    </w:p>
    <w:p>
      <w:pPr>
        <w:pStyle w:val="Heading1"/>
      </w:pPr>
      <w:r>
        <w:t xml:space="preserve">External Factor Landscape (PESTEL)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A five-factor scan of the conditions outside Cambodia's direct control that carry the most weight for an investment or site decision made in the second half of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3FA0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7B3FA0"/>
                <w:sz w:val="17"/>
                <w:szCs w:val="17"/>
              </w:rPr>
              <w:t xml:space="preserve">POLITICAL &amp; REGULATORY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7B3FA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Cambodia–Thailand border ceasefire signed 27 Dec 2025 after conflict that displaced 500,000+ civilians; land-crossing trade only partially normalized.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7B3FA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First Commercial Code in drafting — unifying commercial law and adding a framework for digital platforms, fintech and e-commerce.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7B3FA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QIP investment approvals remain fast (20 working days) under the 2021 Law on Investment.</w:t>
            </w:r>
          </w:p>
        </w:tc>
        <w:tc>
          <w:tcPr>
            <w:tcW w:type="dxa" w:w="4680"/>
            <w:tcBorders>
              <w:top w:val="single" w:color="B86E00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B86E00"/>
                <w:sz w:val="17"/>
                <w:szCs w:val="17"/>
              </w:rPr>
              <w:t xml:space="preserve">ECONOMIC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B86E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World Bank cut 2026 GDP growth forecast to 3.9% (from 4.3%); IMF near 4.0%. Both project a 2027 rebound (World Bank: 5.1%).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B86E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Riel holding a stable managed float near 4,000–4,100/USD; government pushing riel salary payments and de-dollarization of small transactions in 2026.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B86E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Garment/footwear/travel-goods exports remained a bright spot in 2025 even as overall growth cooled.</w:t>
            </w:r>
          </w:p>
        </w:tc>
      </w:tr>
      <w:tr>
        <w:tc>
          <w:tcPr>
            <w:tcW w:type="dxa" w:w="4680"/>
            <w:tcBorders>
              <w:top w:val="single" w:color="CC3300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CC3300"/>
                <w:sz w:val="17"/>
                <w:szCs w:val="17"/>
              </w:rPr>
              <w:t xml:space="preserve">SOCIAL &amp; LABOR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CC33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2026 garment-sector minimum wage set at $210/month (up only $2 from 2025) — unions had sought $232, keeping wage pressure live for 2027 talks.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CC33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Thailand's Labour Ministry has moved to admit no new Cambodian laborers since the border conflict, straining a historically large cross-border workforce and remittance channel.</w:t>
            </w:r>
          </w:p>
        </w:tc>
        <w:tc>
          <w:tcPr>
            <w:tcW w:type="dxa" w:w="4680"/>
            <w:tcBorders>
              <w:top w:val="single" w:color="1A5C9E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1A5C9E"/>
                <w:sz w:val="17"/>
                <w:szCs w:val="17"/>
              </w:rPr>
              <w:t xml:space="preserve">TECHNOLOGICAL &amp; INFRASTRUCTURE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1A5C9E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China-backed $1.7B Funan Techo Canal advancing — positioning Cambodia as a Mekong Corridor logistics hub.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1A5C9E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Commercial Code reform explicitly targets rules for digital businesses, online platforms and fintech, signaling formal regulatory catch-up with the region's digital economies.</w:t>
            </w:r>
          </w:p>
        </w:tc>
      </w:tr>
      <w:tr>
        <w:tc>
          <w:tcPr>
            <w:tcW w:type="dxa" w:w="4680"/>
            <w:tcBorders>
              <w:top w:val="single" w:color="217A4B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217A4B"/>
                <w:sz w:val="17"/>
                <w:szCs w:val="17"/>
              </w:rPr>
              <w:t xml:space="preserve">ENVIRONMENTAL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217A4B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2025 Mekong-basin floods (Jul–Sep) killed 19, affected 31,000+ families and damaged thousands of hectares of cropland.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217A4B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Unmitigated climate trends could cut Cambodia's GDP by close to 10% by 2050, with flood-exposed population potentially growing by ~4 million by the 2040s.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III · DEEP DIVE — U.S. TARIFF RESET</w:t>
      </w:r>
    </w:p>
    <w:p>
      <w:pPr>
        <w:pStyle w:val="Heading1"/>
      </w:pPr>
      <w:r>
        <w:t xml:space="preserve">Deep Dive — U.S. Tariff Reset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single biggest swing factor in Cambodia's 2026 external picture is trade policy, and it has moved twice this year. Cambodia's apparel exports were hit with a 49% tariff during the IEEPA period running from April 2025 to February 2026 — among the harshest rates applied to any exporting nation. A U.S. Supreme Court ruling on 20 February 2026 struck down IEEPA as a legal basis for reciprocal tariffs, which reset Cambodia toward a 10% Section 122 rate plus MFN duties.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Since 24 July 2026, an additional 10% has applied on top of MFN duties following a separate trade-policy adjustment, but Cambodia's government expects the total rate to stay capped near 19% pending the outcome of an active U.S. investigation into industrial overcapacity — with any further increase from that probe unlikely to exceed roughly 9 additional points. Layered on top of the tariff reset, Cambodia was named one of four countries (with Indonesia, Malaysia and Bangladesh) admitted to a new U.S. Tariff Rate Quota program that allows specified volumes of textile and apparel exports to enter duty-free for three years, provided manufacturers use U.S.-origin fabric, cotton or yarn.</w:t>
      </w:r>
    </w:p>
    <w:p>
      <w:pPr>
        <w:spacing w:before="120"/>
        <w:jc w:val="center"/>
      </w:pPr>
      <w:r>
        <w:drawing>
          <wp:inline distT="0" distB="0" distL="0" distR="0">
            <wp:extent cx="5524500" cy="2524125"/>
            <wp:effectExtent t="0" r="0" b="0" l="0"/>
            <wp:docPr id="1" name="chart-tariff-comparison.png" descr="Effective U.S. tariff rate on apparel exports by exporting country, late July 2026" title="Effective U.S. tariff rate on apparel exports by exporting country, late July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71717A"/>
          <w:sz w:val="15"/>
          <w:szCs w:val="15"/>
        </w:rPr>
        <w:t xml:space="preserve">Effective U.S. tariff rate on apparel exports by exporting country, late July 2026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net effect: Cambodia now sits meaningfully below both Vietnam and Bangladesh on landed tariff cost for the first time in this tariff cycle, a reversal from the IEEPA period when Cambodia (49%) and Vietnam (46%) were both penalized more heavily than Bangladesh (37%). For buyers reallocating orders away from Vietnam, Cambodia is currently the cheaper landed-cost option among the three — a window that is explicitly conditional on the pending U.S. investigation outcome and could close if the cap is breached.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IV · DEEP DIVE — BORDER CONFLICT AFTERMATH</w:t>
      </w:r>
    </w:p>
    <w:p>
      <w:pPr>
        <w:pStyle w:val="Heading1"/>
      </w:pPr>
      <w:r>
        <w:t xml:space="preserve">Deep Dive — Border Conflict Aftermath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Cambodia–Thailand border conflict that reignited in May 2025 caused more than 100 deaths and displaced over half a million civilians before a ceasefire was signed on 27 December 2025. Fighting in the second half of 2025 closed land crossings that had handled an estimated $5.6 billion in trade, forcing a rapid — but incomplete — pivot in Cambodia's logistics and fuel-supply routing.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economic scar tissue is proving more durable than the conflict itself. Thailand's Labour Ministry has moved since March 2026 to admit no new Cambodian laborers, cutting off a cross-border workforce and remittance channel that Cambodian households have relied on for years, and pushing some returnees into informal, lower-security work at home. Independent assessments expect Cambodia's economy to have absorbed the shock without a structural break — growth around 5% during the worst of the conflict — but conclude the border relationship will continue to weigh on both economies well beyond the ceasefire date.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7B3FA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Trade routes: land-crossing normalization remains partial as of mid-2026; overland logistics planning should build in contingency capacity.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7B3FA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Labor market: the closure of new Thai labor admissions increases domestic labor supply pressure — a tailwind for garment-sector hiring, a headwind for wage restraint.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7B3FA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Remittances: reduced outbound labor flow to Thailand is a direct hit to rural household income and consumption capacity.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5C9E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1A5C9E"/>
          <w:sz w:val="15"/>
          <w:szCs w:val="15"/>
        </w:rPr>
        <w:t xml:space="preserve">V · REGIONAL COMPARISON</w:t>
      </w:r>
    </w:p>
    <w:p>
      <w:pPr>
        <w:pStyle w:val="Heading1"/>
      </w:pPr>
      <w:r>
        <w:t xml:space="preserve">Regional Comparison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Cambodia against its two nearest apparel-sourcing rivals on the dimensions most likely to move a 2026 sourcing or site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Cambodia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Bangladesh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Vietnam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US tariff (late Jul 2026)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~19% (capped, pending)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25.6%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28.1%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2026 minimum wage (garment)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$210/month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Lower base, rising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Higher base than KH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Primary export exposure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Cotton apparel, travel goods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Cotton apparel (~2/3 of exports)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MMF-driven apparel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2026 GDP growth (est.)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3.9–4.0%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Regional peer range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Regional peer range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Largest FDI source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China (46.8% of Q1 2026)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Mixed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Mixed / China-adjacent</w:t>
            </w:r>
          </w:p>
        </w:tc>
      </w:tr>
    </w:tbl>
    <w:p>
      <w:pPr>
        <w:spacing w:before="24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524500" cy="2524125"/>
            <wp:effectExtent t="0" r="0" b="0" l="0"/>
            <wp:docPr id="1" name="chart-gdp-growth.png" descr="Cambodia real GDP growth, 2025 actual estimate to 2027 forecast — IMF / World Bank" title="Cambodia real GDP growth, 2025 actual estimate to 2027 forecast — IMF / World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71717A"/>
          <w:sz w:val="15"/>
          <w:szCs w:val="15"/>
        </w:rPr>
        <w:t xml:space="preserve">Cambodia real GDP growth, 2025 actual estimate to 2027 forecast — IMF / World Bank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VI · RISK EXPOSURE RATINGS</w:t>
      </w:r>
    </w:p>
    <w:p>
      <w:pPr>
        <w:pStyle w:val="Heading1"/>
      </w:pPr>
      <w:r>
        <w:t xml:space="preserve">Risk Exposure Ratings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Qualitative exposure scoring (1 = low, 5 = high) for the external factors most likely to move a 2026 investment decision, based on the evidence in this brief.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Tariff / trade-policy risk (contingent on U.S. investigation outcome)   </w:t>
      </w: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●●●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Cross-border conflict / logistics risk (Thailand corridor)   </w:t>
      </w:r>
      <w:r>
        <w:rPr>
          <w:rFonts w:ascii="Arial" w:cs="Arial" w:eastAsia="Arial" w:hAnsi="Arial"/>
          <w:b/>
          <w:bCs/>
          <w:color w:val="7B3FA0"/>
          <w:sz w:val="20"/>
          <w:szCs w:val="20"/>
        </w:rPr>
        <w:t xml:space="preserve">●●●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Currency / FX risk (riel stable, managed float) 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Climate / flood risk (Mekong basin exposure)   </w:t>
      </w:r>
      <w:r>
        <w:rPr>
          <w:rFonts w:ascii="Arial" w:cs="Arial" w:eastAsia="Arial" w:hAnsi="Arial"/>
          <w:b/>
          <w:bCs/>
          <w:color w:val="217A4B"/>
          <w:sz w:val="20"/>
          <w:szCs w:val="20"/>
        </w:rPr>
        <w:t xml:space="preserve">●●●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China-investment concentration risk   </w:t>
      </w:r>
      <w:r>
        <w:rPr>
          <w:rFonts w:ascii="Arial" w:cs="Arial" w:eastAsia="Arial" w:hAnsi="Arial"/>
          <w:b/>
          <w:bCs/>
          <w:color w:val="1A5C9E"/>
          <w:sz w:val="20"/>
          <w:szCs w:val="20"/>
        </w:rPr>
        <w:t xml:space="preserve">●●●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Labor cost / wage-pressure risk   </w:t>
      </w: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○○○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VII · IMPLICATIONS &amp; RECOMMENDATION</w:t>
      </w:r>
    </w:p>
    <w:p>
      <w:pPr>
        <w:pStyle w:val="Heading1"/>
      </w:pPr>
      <w:r>
        <w:t xml:space="preserve">Implications &amp; Recommendation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For export-oriented manufacturing tenants, Cambodia's relative tariff advantage over Vietnam and Bangladesh is real but time-limited and conditional — it should be treated as a 12–18 month window rather than a structural repositioning, given it depends on the outcome of an active U.S. trade investigation. For investors weighing SEZ or industrial-park commitments, the border-conflict aftermath argues for logistics diversification (avoid single-corridor dependence on Thailand-linked routes) and for underwriting labor-cost inflation into 2027 wage negotiations rather than assuming the modest 2026 increase holds.</w:t>
      </w:r>
    </w:p>
    <w:p>
      <w:pPr>
        <w:pBdr>
          <w:left w:val="single" w:color="CC33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Move on Cambodia's tariff window now, but structure the commitment around 2027 wage-reset risk and Thailand-corridor logistics contingency — not around the tariff cap holding indefinitely.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China's outsized and growing share of both FDI and trade is the factor most likely to shape Cambodia's medium-term trajectory regardless of what Washington or Brussels decide next — any 2026 external-factors view that does not explicitly account for Beijing's investment cycle is incomplete.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217A4B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217A4B"/>
          <w:sz w:val="15"/>
          <w:szCs w:val="15"/>
        </w:rPr>
        <w:t xml:space="preserve">VIII · SOURCES &amp; DISCLAIMER</w:t>
      </w:r>
    </w:p>
    <w:p>
      <w:pPr>
        <w:pStyle w:val="Heading1"/>
      </w:pPr>
      <w:r>
        <w:t xml:space="preserve">Sources &amp; Disclaimer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hqyuh5oor9ig-fwgnhwy9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DFDL — U.S. Tariff Increase on Cambodian Garments: Key Implications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iqzpsmsnotvcttbat587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Apparel Views / Global Textile Times — Cambodia secures US duty-free textile TRQ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mwfrnavsosajlkzygog8k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Pham Fashion House — Vietnam Apparel Tariffs 2026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z_qskbglxgtpsvb_h8h2r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The Daily Star — US again imposes 10% tariff on Bangladesh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bgw2fbstf7jox-9ei5oe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European Commission / KAS — EU trade relations with Cambodia, EBA status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94f5tltva5t-p9w5wr5n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Cambodia Investment Review — China biggest investor in Cambodia in Q1 2026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1mydggwhdfgebqfhf5koe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Khmer Times — Cambodia, China reaffirm economic cooperation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ti4q6suxlh2sj8qd3gpsx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ISEAS Perspective 2026/35 — Cambodia's Economy before and after the 2025 Border Conflict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kkulodcs4inizayw6kxic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FULCRUM — The Economic Fallout from the Thailand-Cambodia Border Conflict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fhchnyhdyc04h-s1wmot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Fibre2Fashion — Cambodia raises 2026 monthly minimum wage to $210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4nt5q6cntrrouqi-7suhy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Khmer Times — WB moderates Cambodia's 2026 GDP growth forecast to 3.9%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riyjx3myj4jxvifjsynf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Cambodia Investment Review — Cambodia GDP Growth to Slow to 4.8% in 2025 and 4.0% in 2026 (IMF)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dibsmgt67xpnftvpwmfpa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Cambodianess — De-Dollarization Back on the Agenda as Cambodia Promotes Riel Use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uqc-7uig7akymh83ryl8p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Kampucheathmey Daily — Cambodia pushes urgent Commercial Code reform as exports climb 19% in early 2026</w:t>
        </w:r>
      </w:hyperlink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hyperlink w:history="1" r:id="rIdtpsuvq42pupy36j6ppbqk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Mekong River Commission / ScienceDirect — Flood and drought impacts, Lower Mekong Basin</w:t>
        </w:r>
      </w:hyperlink>
    </w:p>
    <w:p>
      <w:pPr>
        <w:spacing w:after="120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AI-assisted research. External-factor assessments reflect public information available as of August 2026 and can change quickly — trade-policy caps, wage settlements, and border-corridor status in particular are subject to near-term revision. Verify all information independently before making investment or policy decisions.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nsolas" w:cs="Consolas" w:eastAsia="Consolas" w:hAnsi="Consolas"/>
        <w:color w:val="71717A"/>
        <w:sz w:val="14"/>
        <w:szCs w:val="14"/>
      </w:rPr>
      <w:t xml:space="preserve">© The Gentry Lab · Confidential</w:t>
    </w:r>
    <w:r>
      <w:rPr>
        <w:rFonts w:ascii="Consolas" w:cs="Consolas" w:eastAsia="Consolas" w:hAnsi="Consolas"/>
        <w:color w:val="71717A"/>
        <w:sz w:val="14"/>
        <w:szCs w:val="14"/>
      </w:rPr>
      <w:t xml:space="preserve">	Page </w:t>
    </w:r>
    <w:r>
      <w:rPr>
        <w:rFonts w:ascii="Consolas" w:cs="Consolas" w:eastAsia="Consolas" w:hAnsi="Consolas"/>
        <w:color w:val="7171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4" w:space="4"/>
      </w:pBdr>
      <w:tabs>
        <w:tab w:val="right" w:pos="9026"/>
      </w:tabs>
    </w:pPr>
    <w:r>
      <w:rPr>
        <w:rFonts w:ascii="Consolas" w:cs="Consolas" w:eastAsia="Consolas" w:hAnsi="Consolas"/>
        <w:color w:val="71717A"/>
        <w:sz w:val="13"/>
        <w:szCs w:val="13"/>
      </w:rPr>
      <w:t xml:space="preserve">THE GENTRY LAB · MACRO &amp; EXTERNAL FACTORS</w:t>
    </w:r>
    <w:r>
      <w:rPr>
        <w:rFonts w:ascii="Consolas" w:cs="Consolas" w:eastAsia="Consolas" w:hAnsi="Consolas"/>
        <w:color w:val="71717A"/>
        <w:sz w:val="13"/>
        <w:szCs w:val="13"/>
      </w:rPr>
      <w:t xml:space="preserve">	Cambodia External Factors Outlook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60"/>
      </w:pPr>
      <w:rPr>
        <w:rFonts w:ascii="Arial" w:cs="Arial" w:eastAsia="Arial" w:hAnsi="Arial"/>
        <w:color w:val="FF51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5100" w:sz="8" w:space="6"/>
      </w:pBdr>
      <w:spacing w:after="180" w:before="360"/>
      <w:outlineLvl w:val="0"/>
    </w:pPr>
    <w:rPr>
      <w:rFonts w:ascii="Arial" w:cs="Arial" w:eastAsia="Arial" w:hAnsi="Arial"/>
      <w:b/>
      <w:bCs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A0A0B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171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qyuh5oor9ig-fwgnhwy9" Type="http://schemas.openxmlformats.org/officeDocument/2006/relationships/hyperlink" Target="https://www.dfdl.com/insights/legal-and-tax-updates/u-s-tariff-increase-on-cambodian-garments-key-implications-and-strategic-considerations/" TargetMode="External"/><Relationship Id="rIdiqzpsmsnotvcttbat587c" Type="http://schemas.openxmlformats.org/officeDocument/2006/relationships/hyperlink" Target="https://www.apparelviews.com/cambodia-secures-us-duty-free-textile-quota-scheme" TargetMode="External"/><Relationship Id="rIdmwfrnavsosajlkzygog8k" Type="http://schemas.openxmlformats.org/officeDocument/2006/relationships/hyperlink" Target="https://www.phamfashion.com/blog/vietnam-apparel-tariffs-guide" TargetMode="External"/><Relationship Id="rIdz_qskbglxgtpsvb_h8h2r" Type="http://schemas.openxmlformats.org/officeDocument/2006/relationships/hyperlink" Target="https://www.thedailystar.net/news/bangladesh/diplomacy/news/us-again-imposes-10-tariff-bangladesh-4231701" TargetMode="External"/><Relationship Id="rIdbgw2fbstf7jox-9ei5oeb" Type="http://schemas.openxmlformats.org/officeDocument/2006/relationships/hyperlink" Target="https://policy.trade.ec.europa.eu/eu-trade-relationships-country-and-region/countries-and-regions/cambodia_en" TargetMode="External"/><Relationship Id="rId94f5tltva5t-p9w5wr5nv" Type="http://schemas.openxmlformats.org/officeDocument/2006/relationships/hyperlink" Target="https://cambodiainvestmentreview.com/2026/02/02/cambodia-attracts-5-2-billion-in-fdi-in-2025-china-accounts-for-over-70-of-inflows/" TargetMode="External"/><Relationship Id="rId1mydggwhdfgebqfhf5koe" Type="http://schemas.openxmlformats.org/officeDocument/2006/relationships/hyperlink" Target="https://www.khmertimeskh.com/501920136/cambodia-china-reaffirm-economic-cooperation/" TargetMode="External"/><Relationship Id="rIdti4q6suxlh2sj8qd3gpsx" Type="http://schemas.openxmlformats.org/officeDocument/2006/relationships/hyperlink" Target="https://www.iseas.edu.sg/articles-commentaries/iseas-perspective/2026-35-cambodias-economy-before-and-after-the-2025-border-conflict-by-richard-yarrow-and-sovath-kenh/" TargetMode="External"/><Relationship Id="rIdkkulodcs4inizayw6kxic" Type="http://schemas.openxmlformats.org/officeDocument/2006/relationships/hyperlink" Target="https://fulcrum.sg/the-economic-fallout-from-the-thailand-cambodia-border-conflict/" TargetMode="External"/><Relationship Id="rIdfhchnyhdyc04h-s1wmotw" Type="http://schemas.openxmlformats.org/officeDocument/2006/relationships/hyperlink" Target="https://www.fibre2fashion.com/news/textiles-policy-news/cambodia-raises-2026-monthly-minimum-wage-to-210-from-208-now-305451-newsdetails.htm" TargetMode="External"/><Relationship Id="rId4nt5q6cntrrouqi-7suhy" Type="http://schemas.openxmlformats.org/officeDocument/2006/relationships/hyperlink" Target="https://www.khmertimeskh.com/501878389/wb-moderates-cambodias-2026-gdp-growth-forecast-to-3-9/" TargetMode="External"/><Relationship Id="rIdriyjx3myj4jxvifjsynfv" Type="http://schemas.openxmlformats.org/officeDocument/2006/relationships/hyperlink" Target="https://cambodiainvestmentreview.com/2025/11/26/cambodia-gdp-growth-to-slow-to-4-8-in-2025-and-4-0-in-2026-imf-cautions-amid-rising-financial-risks/" TargetMode="External"/><Relationship Id="rIddibsmgt67xpnftvpwmfpa" Type="http://schemas.openxmlformats.org/officeDocument/2006/relationships/hyperlink" Target="https://cambodianess.com/article/de-dollarization-back-on-the-agenda-as-cambodia-promotes-riel-use" TargetMode="External"/><Relationship Id="rIduqc-7uig7akymh83ryl8p" Type="http://schemas.openxmlformats.org/officeDocument/2006/relationships/hyperlink" Target="https://en.kampucheathmey.com/economy/1141380/" TargetMode="External"/><Relationship Id="rIdtpsuvq42pupy36j6ppbqk" Type="http://schemas.openxmlformats.org/officeDocument/2006/relationships/hyperlink" Target="https://www.mrcmekong.org/flood-and-drought/" TargetMode="External"/><Relationship Id="rId9" Type="http://schemas.openxmlformats.org/officeDocument/2006/relationships/image" Target="media/e9ad43b1f29eee6dc6c3082313224159fc599141.png"/><Relationship Id="rId10" Type="http://schemas.openxmlformats.org/officeDocument/2006/relationships/image" Target="media/34ef33bba0d5388166e71a58a9fff5b4e7db4fa5.png"/><Relationship Id="rId11" Type="http://schemas.openxmlformats.org/officeDocument/2006/relationships/image" Target="media/30eeb16d013e35f281dd78ff2ee949b12fd06401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2026-08-08T06:25:08.890Z</dcterms:created>
  <dcterms:modified xsi:type="dcterms:W3CDTF">2026-08-08T06:25:08.890Z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