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44</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recursion, redirection, parent-child coverage region exchange, and Forest Guide interaction — are explicitly out of scope for this version. These behaviors are defined in RFC 5222, RFC 5582, and NENA-STA-010, and are deferred to a future version of this document if one is necessary.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This distinction is preserved because it is meaningful for diagnostic purposes and will inform the recursion and redirection behavior defined in a future version.</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recursion/redirect deferred to future version)</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no fields were missing from submission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and redirection out of scope for this version</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Intra-tree recursion MAY be available where parent-child connectivity exists, but cross-tree resolution requires the Forest Guide. This algorithm returns &lt;notFound&gt; for all zero-candidate results regardless of whether the location is within or outside the LVF’s coverage region. The coverage region distinction is preserved for diagnostic purposes and to enable correct implementation in a future version.</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A future version of this document should define recursion and redirection behavior for leaf nodes once LoST tree connectivity and Forest Guide availability can be assumed. NENA-STA-010 should be updated to acknowledge the deployment reality that intra-tree recursion and cross-tree resolution have different infrastructure dependencies.</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future recursion/redirection work, but does not alter the response in this version.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44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response assembly (§8.1–§8.7 — civic coverage region lookup, synthetic default mapping with LVF_DEFAULT_MAPPING_SOURCE_ID, revalidateAfter per draft-ietf-ecrit-lost-planned-changes §6, and unconditional completeLocation per draft-ietf-ecrit-similar-location-19 §8.7); civic and geodetic coverage region derivation (§3.3, §3.4); GIS record temporal filtering at query time (§3.5).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This LVF supports the server-emitted portion of the extension (&lt;revalidateAfter&gt;, §8.6) but does not support the client-submitted &lt;asOf&gt; request element. Requests containing a planned:asOf element are rejected with &lt;badRequest&gt; and a message instructing the client to remove the element and resubmit. Rationale: the LVF retains only the current active GIS dataset, so &lt;asOf&gt; values in the past cannot be answered correctly — the historical state of the data is not recoverable. &lt;asOf&gt; values in the future are also problematic: while the temporal filtering infrastructure (§3.5) operates at the record level and could in principle accept a future timestamp, the civic and geodetic coverage regions (§3.3, §3.4) are derived at load time against datetime.now() and do not reflect future-effective records. A future-dated &lt;asOf&gt; query against current coverage regions would silently produce results that differ from what the same query will return on the asOf date once the coverage regions are rebuilt. The draft recommends graceful degradation — accepting the element and responding with current data — but this LVF rejects rather than degrades because silently misleading answers are operationally worse than an explicit “not supported” rejection, particularly for a validation service where clients use the result to make provisioning decisions. Full &lt;asOf&gt; support is deferred. One additional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now returned unconditionally via completeLocation (§8.7) whenever the matched GIS record contains the canonical value. This was previously a gap; it is resolved by the v44 always-on completeLocation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service boundaries (RFC 5222 §12.3)</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