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39</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01ADC025" w14:textId="77777777" w:rsidR="00586B35" w:rsidRDefault="00AC2ABA">
      <w:pPr>
        <w:pStyle w:val="Heading2"/>
      </w:pPr>
      <w:r>
        <w:t>1.2 Regulatory Context</w:t>
      </w:r>
    </w:p>
    <w:p w14:paraId="01B104EA" w14:textId="77777777" w:rsidR="00586B35" w:rsidRDefault="00586B35"/>
    <w:p w14:paraId="7F1644B2" w14:textId="77777777" w:rsidR="00586B35" w:rsidRDefault="00AC2ABA">
      <w:r>
        <w:t>FCC Report and Order 24-78 (July 2024) establishes a two-phased framework for the nationwide transition to NG9-1-1. A valid Phase 2 service request requires a 911 Authority to certify that its infrastructure includes access to a Location Validation Function. The certification framework presumes that “access to an LVF” is a meaningful and consistent capability, but without a specified algorithm that presumption is not supported by the underlying standards.</w:t>
      </w:r>
    </w:p>
    <w:p w14:paraId="145660A4" w14:textId="77777777" w:rsidR="00586B35" w:rsidRDefault="00586B35"/>
    <w:p w14:paraId="5D1A12A7" w14:textId="1AD22DA7" w:rsidR="00586B35" w:rsidRDefault="00576B16">
      <w:r>
        <w:t>Today, originating service providers (OSPs) validate customer addresses using the Master Street Address Guide (MSAG). The MSAG validation process, while operating on far fewer elements than CLDXF-US, is “mostly” algorithmically consistent between implementations.  However, underlying data within MSAGs is highly inconsistent, where the same physical road may appear as "CORD", "CO RD", "County Rd", or "County Road" depending on jurisdiction. The CLDXF-US data model and the GIS-based provisioning approach defined in NENA-STA-006.3 directly address that data normalization problem. The transition to NG9-1-1, however, introduces a new variable: the LVF's validation logic itself. If two LVFs apply different rules to identical GIS data, the consistency that CLDXF-US and STA-006.3 deliver at the data layer is undone at the evaluation layer.</w:t>
      </w:r>
    </w:p>
    <w:p w14:paraId="23A503FC" w14:textId="77777777" w:rsidR="00586B35" w:rsidRDefault="00AC2ABA">
      <w:pPr>
        <w:pStyle w:val="Heading2"/>
      </w:pPr>
      <w:r>
        <w:lastRenderedPageBreak/>
        <w:t>1.3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1.4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1.5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Tree-level concerns, including recursion, redirection, parent-child coverage region exchange, and Forest Guide interaction — are explicitly out of scope for this version. These behaviors are defined in RFC 5222, RFC 5582, and NENA-STA-010, and are deferred to a future version of this document if one is necessary.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This distinction is preserved because it is meaningful for diagnostic purposes and will inform the recursion and redirection behavior defined in a future version.</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The civic coverage region is derived from the provisioned RCL layer, grouped by service boundary. For each RCL record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admin tuple (Country, A1, A2, A3, A4, A5) from the side-specific RCL fields and record the association between that tuple and that service boundary; (4) if the test point falls outside all boundary polygons, discard this side. After processing all RCL sides, build the lookup table as follows: group all accepted (tuple, boundary) pairs by service boundary; for each service boundary, collect the set of distinct admin tuples associated with it; for each unique (country, A1, A2) combination within a boundary, if all A3 values within that combination map to the same boundary, represent them as a wildcard entry (country, A1, A2, *), if only some A3 values map to that boundary, retain specific A3-level entries; apply the same aggregation logic for A4 and A5 where present; then deduplicate. The resulting table is the LVF's civic coverage region. Tuples are valid with as little as country + A1 + A2. Empty A3–A5 values are omitted rather than stored as empty strings. The civic coverage region must be rebuilt whenever the RCL data changes. If the LVF has service boundaries provisioned for multiple URNs, a separate civic coverage region is derived for each URN.</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itself is deferred pending the recursion and redirection work described in §11.2.</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mechanism is deferred pending the recursion and redirection work described in §11.2.</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LVF_URN_ALIASES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the failing element is above ca:HNO in the hierarchy (country, A1–A5, or any street name element): the submitted address contains a structural mismatch against the provisioned GIS data. The SSAP terminal state is returned immediately as an &lt;invalid&gt; result. RCL is not consulted.</w:t>
      </w:r>
    </w:p>
    <w:p w14:paraId="3D453B5C" w14:textId="77777777" w:rsidR="007B20D2" w:rsidRDefault="007B20D2" w:rsidP="00B571F2">
      <w:pPr>
        <w:pStyle w:val="ListParagraph"/>
        <w:numPr>
          <w:ilvl w:val="0"/>
          <w:numId w:val="1"/>
        </w:numPr>
      </w:pPr>
      <w:r>
        <w:t>If the failing element is ca:HNO or any element below ca:HNO in the hierarchy: this indicates that no address point exists for the submitted house number, not that the address is structurally invalid. The SSAP terminal state is discarded and the RCL layer is evaluated from the beginning with a fresh filter state. RCL range validation is the normative path for addresses that exist on a road segment but have no corresponding address point.</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LVF_URN_ALIASES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(boundary temporal filtering deferred to response assembly)</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recursion/redirect deferred to future version)</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
      &lt;revalidateAfter&gt; = min non-null Expire across matched GIS record + selected boundary; “NO-EXPIRATION” if all null (§8.6)</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and redirection out of scope for this version</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This document is scoped to leaf node LVF behavior. RFC 5222 and NENA-STA-010 define recursion and redirection, but consistent implementation depends on LoST tree connectivity and a functioning National Forest Guide — neither of which can be assumed in current Phase 2 deployments. Intra-tree recursion MAY be available where parent-child connectivity exists, but cross-tree resolution requires the Forest Guide. This algorithm returns &lt;notFound&gt; for all zero-candidate results regardless of whether the location is within or outside the LVF’s coverage region. The coverage region distinction is preserved for diagnostic purposes and to enable correct implementation in a future version.</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A future version of this document should define recursion and redirection behavior for leaf nodes once LoST tree connectivity and Forest Guide availability can be assumed. NENA-STA-010 should be updated to acknowledge the deployment reality that intra-tree recursion and cross-tree resolution have different infrastructure dependencies.</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future recursion/redirection work, but does not alter the response in this version.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v38]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(v38): The pre-HNO split is retained. If the SSAP failing element is above ca:HNO (country, A1–A5, or any street name element), the SSAP &lt;invalid&gt; result is returned immediately without consulting RCL. If the failing element is ca:HNO or below, the SSAP result is discarded and RCL is consulted. Rationale: a uniform fallthrough rule was evaluated in v37 but reverted after regression testing revealed that it produces misleading results when an alias road name happens to be a primary name on a different RCL segment. In that case, SSAP correctly rejects the alias at ca:RD, but RCL finds a different segment further afield where that name is primary, then fails at ca:HNO — reporting the wrong element as invalid and directing the LIS operator to fix the house number when the real problem is the road name alias. Since the no-alias rule (§6.7) is correct and alias rejection at the street name level is intentional behavior, the SSAP result is authoritative for above-HNO failures. The distinction is explicitly stated in §6.1 with RCL non-consultation confirmed for this path.</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36 working versions. The current algorithm includes: Gate 0 (service URN / boundary check, URN alias resolution via LVF_URN_ALIASES); Gate 1 (structural conformance — country, A1, A2, RD, HNO required); Gate 2 (unified progressive filter, stop-on-first-invalid, SSAP/RCL layer order, RCL side determination, query-time temporal validity); response assembly (§8.1–§8.5 — civic coverage region lookup, synthetic default mapping with LVF_DEFAULT_MAPPING_SOURCE_ID, and &lt;revalidateAfter&gt; per draft-ietf-ecrit-lost-planned-changes §6); civic and geodetic coverage region derivation (§3.3, §3.4); GIS record temporal filtering at query time (§3.5); revalidateAfter derivation from minimum non-null Expire (§8.6); and completeLocation extension support (§11.3).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NENA-STA-010 §3.2 requires LVFs to support draft-ietf-ecrit-lost-planned-changes. The &lt;revalidateAfter&gt; response element is implemented (§8.6). The &lt;asOf&gt; request element is implemented as a graceful stub: if present in a request, its value is logged at WARNING level and the LVF proceeds with current data — this is compliant per the draft, which states that an &lt;asOf&gt; date in the past returns the same result as omitting it, and since the LVF holds only the current active dataset all &lt;asOf&gt; values are treated equivalently. The &lt;asOf&gt; element is never echoed in the response per §4 (a server SHOULD NOT include &lt;asOf&gt; in the result if it used the current time). One capability from the draft remains deferred: the plannedChangePoll REST interface (three JSON endpoints: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but the client has no way to receive the corrected value without the completeLocation extension. See also the RFC 5222 warning gap in §10.</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service boundaries (RFC 5222 §12.3)</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extension enabled by configuration; disabled by default</w:t>
            </w:r>
          </w:p>
        </w:tc>
        <w:tc>
          <w:tcPr>
            <w:tcW w:w="4500" w:type="dxa"/>
          </w:tcPr>
          <w:p w14:paraId="51C8B7E8" w14:textId="77777777" w:rsidR="00586B35" w:rsidRDefault="00AC2ABA">
            <w:r>
              <w:t>The Similar Location extension (draft-ietf-ecrit-similar-location-19) is experimental and not yet standardized. Enabling it by default would emit non-standard XML elements in every applicable response, potentially breaking clients that do not recognize the rli namespace. The LVF_ENABLE_SIMILAR_LOCATION environment variable provides explicit opt-in. When disabled, the extension is completely invisible — no namespace declarations, no additional elements, no attribute parsing.</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SSAP record</w:t>
            </w:r>
          </w:p>
        </w:tc>
        <w:tc>
          <w:tcPr>
            <w:tcW w:w="4500" w:type="dxa"/>
          </w:tcPr>
          <w:p w14:paraId="53B08F89" w14:textId="77777777" w:rsidR="00586B35" w:rsidRDefault="00AC2ABA">
            <w:r>
              <w:t>draft-ietf-ecrit-similar-location-19 §5 leaves the definition of “complete” to local policy. This implementation defines it normatively as all non-null PIDF-LO civic address fields present on the matched SSAP record, serialized in ELEMENT_HIERARCHY order. Unconstrained local policy risks inconsistent LIS record storage across deployments — different completeness definitions produce different address records stored in the LIS, with downstream consequences for CAD systems and other consumers that depend on consistent address representations.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LVF_URN_ALIASES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LVF_URN_ALIASES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