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65.7035522460938"/>
        <w:gridCol w:w="8094.296447753906"/>
        <w:tblGridChange w:id="0">
          <w:tblGrid>
            <w:gridCol w:w="1265.7035522460938"/>
            <w:gridCol w:w="8094.296447753906"/>
          </w:tblGrid>
        </w:tblGridChange>
      </w:tblGrid>
      <w:tr>
        <w:trPr>
          <w:cantSplit w:val="0"/>
          <w:tblHeader w:val="0"/>
        </w:trPr>
        <w:tc>
          <w:tcPr>
            <w:tcBorders>
              <w:top w:color="bdc1c6" w:space="0" w:sz="8" w:val="single"/>
              <w:left w:color="000000" w:space="0" w:sz="0" w:val="nil"/>
              <w:bottom w:color="bdc1c6" w:space="0" w:sz="8" w:val="single"/>
              <w:right w:color="bdc1c6" w:space="0" w:sz="8" w:val="single"/>
            </w:tcBorders>
            <w:shd w:fill="f1f3f4" w:val="clear"/>
            <w:tcMar>
              <w:top w:w="144.0" w:type="dxa"/>
              <w:left w:w="144.0" w:type="dxa"/>
              <w:bottom w:w="144.0" w:type="dxa"/>
              <w:right w:w="144.0" w:type="dxa"/>
            </w:tcMar>
          </w:tcPr>
          <w:p w:rsidR="00000000" w:rsidDel="00000000" w:rsidP="00000000" w:rsidRDefault="00000000" w:rsidRPr="00000000" w14:paraId="00000002">
            <w:pPr>
              <w:spacing w:line="240" w:lineRule="auto"/>
              <w:jc w:val="right"/>
              <w:rPr/>
            </w:pPr>
            <w:r w:rsidDel="00000000" w:rsidR="00000000" w:rsidRPr="00000000">
              <w:rPr>
                <w:b w:val="1"/>
                <w:rtl w:val="0"/>
              </w:rPr>
              <w:t xml:space="preserve">To</w:t>
            </w:r>
            <w:r w:rsidDel="00000000" w:rsidR="00000000" w:rsidRPr="00000000">
              <w:rPr>
                <w:rtl w:val="0"/>
              </w:rPr>
            </w:r>
          </w:p>
        </w:tc>
        <w:tc>
          <w:tcPr>
            <w:tcBorders>
              <w:top w:color="bdc1c6" w:space="0" w:sz="8" w:val="single"/>
              <w:left w:color="bdc1c6" w:space="0" w:sz="8" w:val="single"/>
              <w:bottom w:color="bdc1c6" w:space="0" w:sz="8" w:val="single"/>
              <w:right w:color="000000" w:space="0" w:sz="0" w:val="nil"/>
            </w:tcBorders>
            <w:tcMar>
              <w:top w:w="144.0" w:type="dxa"/>
              <w:left w:w="144.0" w:type="dxa"/>
              <w:bottom w:w="144.0" w:type="dxa"/>
              <w:right w:w="144.0" w:type="dxa"/>
            </w:tcMar>
          </w:tcPr>
          <w:p w:rsidR="00000000" w:rsidDel="00000000" w:rsidP="00000000" w:rsidRDefault="00000000" w:rsidRPr="00000000" w14:paraId="00000003">
            <w:pPr>
              <w:spacing w:line="240" w:lineRule="auto"/>
              <w:rPr/>
            </w:pPr>
            <w:r w:rsidDel="00000000" w:rsidR="00000000" w:rsidRPr="00000000">
              <w:rPr>
                <w:rtl w:val="0"/>
              </w:rPr>
              <w:t xml:space="preserve">Person</w:t>
            </w:r>
            <w:r w:rsidDel="00000000" w:rsidR="00000000" w:rsidRPr="00000000">
              <w:rPr>
                <w:rtl w:val="0"/>
              </w:rPr>
              <w:t xml:space="preserve"> </w:t>
            </w:r>
            <w:r w:rsidDel="00000000" w:rsidR="00000000" w:rsidRPr="00000000">
              <w:rPr>
                <w:rtl w:val="0"/>
              </w:rPr>
              <w:t xml:space="preserve">Person</w:t>
            </w:r>
            <w:r w:rsidDel="00000000" w:rsidR="00000000" w:rsidRPr="00000000">
              <w:rPr>
                <w:rtl w:val="0"/>
              </w:rPr>
              <w:t xml:space="preserve"> </w:t>
            </w:r>
            <w:r w:rsidDel="00000000" w:rsidR="00000000" w:rsidRPr="00000000">
              <w:rPr>
                <w:rtl w:val="0"/>
              </w:rPr>
              <w:t xml:space="preserve">Person</w:t>
            </w:r>
            <w:r w:rsidDel="00000000" w:rsidR="00000000" w:rsidRPr="00000000">
              <w:rPr>
                <w:rtl w:val="0"/>
              </w:rPr>
            </w:r>
          </w:p>
        </w:tc>
      </w:tr>
      <w:tr>
        <w:trPr>
          <w:cantSplit w:val="0"/>
          <w:tblHeader w:val="0"/>
        </w:trPr>
        <w:tc>
          <w:tcPr>
            <w:tcBorders>
              <w:top w:color="bdc1c6" w:space="0" w:sz="8" w:val="single"/>
              <w:left w:color="000000" w:space="0" w:sz="0" w:val="nil"/>
              <w:bottom w:color="bdc1c6" w:space="0" w:sz="8" w:val="single"/>
              <w:right w:color="bdc1c6" w:space="0" w:sz="8" w:val="single"/>
            </w:tcBorders>
            <w:shd w:fill="f1f3f4" w:val="clear"/>
            <w:tcMar>
              <w:top w:w="144.0" w:type="dxa"/>
              <w:left w:w="144.0" w:type="dxa"/>
              <w:bottom w:w="144.0" w:type="dxa"/>
              <w:right w:w="144.0" w:type="dxa"/>
            </w:tcMar>
          </w:tcPr>
          <w:p w:rsidR="00000000" w:rsidDel="00000000" w:rsidP="00000000" w:rsidRDefault="00000000" w:rsidRPr="00000000" w14:paraId="00000004">
            <w:pPr>
              <w:spacing w:line="240" w:lineRule="auto"/>
              <w:jc w:val="right"/>
              <w:rPr/>
            </w:pPr>
            <w:r w:rsidDel="00000000" w:rsidR="00000000" w:rsidRPr="00000000">
              <w:rPr>
                <w:b w:val="1"/>
                <w:rtl w:val="0"/>
              </w:rPr>
              <w:t xml:space="preserve">Cc</w:t>
            </w:r>
            <w:r w:rsidDel="00000000" w:rsidR="00000000" w:rsidRPr="00000000">
              <w:rPr>
                <w:rtl w:val="0"/>
              </w:rPr>
            </w:r>
          </w:p>
        </w:tc>
        <w:tc>
          <w:tcPr>
            <w:tcBorders>
              <w:top w:color="bdc1c6" w:space="0" w:sz="8" w:val="single"/>
              <w:left w:color="bdc1c6" w:space="0" w:sz="8" w:val="single"/>
              <w:bottom w:color="bdc1c6" w:space="0" w:sz="8" w:val="single"/>
              <w:right w:color="000000" w:space="0" w:sz="0" w:val="nil"/>
            </w:tcBorders>
            <w:tcMar>
              <w:top w:w="144.0" w:type="dxa"/>
              <w:left w:w="144.0" w:type="dxa"/>
              <w:bottom w:w="144.0" w:type="dxa"/>
              <w:right w:w="144.0" w:type="dxa"/>
            </w:tcMar>
          </w:tcPr>
          <w:p w:rsidR="00000000" w:rsidDel="00000000" w:rsidP="00000000" w:rsidRDefault="00000000" w:rsidRPr="00000000" w14:paraId="00000005">
            <w:pPr>
              <w:spacing w:line="240" w:lineRule="auto"/>
              <w:rPr/>
            </w:pPr>
            <w:r w:rsidDel="00000000" w:rsidR="00000000" w:rsidRPr="00000000">
              <w:rPr>
                <w:rtl w:val="0"/>
              </w:rPr>
              <w:t xml:space="preserve">Person</w:t>
            </w:r>
            <w:r w:rsidDel="00000000" w:rsidR="00000000" w:rsidRPr="00000000">
              <w:rPr>
                <w:rtl w:val="0"/>
              </w:rPr>
            </w:r>
          </w:p>
        </w:tc>
      </w:tr>
      <w:tr>
        <w:trPr>
          <w:cantSplit w:val="0"/>
          <w:tblHeader w:val="0"/>
        </w:trPr>
        <w:tc>
          <w:tcPr>
            <w:tcBorders>
              <w:top w:color="bdc1c6" w:space="0" w:sz="8" w:val="single"/>
              <w:left w:color="000000" w:space="0" w:sz="0" w:val="nil"/>
              <w:bottom w:color="bdc1c6" w:space="0" w:sz="8" w:val="single"/>
              <w:right w:color="bdc1c6" w:space="0" w:sz="8" w:val="single"/>
            </w:tcBorders>
            <w:shd w:fill="f1f3f4" w:val="clear"/>
            <w:tcMar>
              <w:top w:w="144.0" w:type="dxa"/>
              <w:left w:w="144.0" w:type="dxa"/>
              <w:bottom w:w="144.0" w:type="dxa"/>
              <w:right w:w="144.0" w:type="dxa"/>
            </w:tcMar>
          </w:tcPr>
          <w:p w:rsidR="00000000" w:rsidDel="00000000" w:rsidP="00000000" w:rsidRDefault="00000000" w:rsidRPr="00000000" w14:paraId="00000006">
            <w:pPr>
              <w:spacing w:line="240" w:lineRule="auto"/>
              <w:jc w:val="right"/>
              <w:rPr/>
            </w:pPr>
            <w:r w:rsidDel="00000000" w:rsidR="00000000" w:rsidRPr="00000000">
              <w:rPr>
                <w:b w:val="1"/>
                <w:rtl w:val="0"/>
              </w:rPr>
              <w:t xml:space="preserve">Bcc</w:t>
            </w:r>
            <w:r w:rsidDel="00000000" w:rsidR="00000000" w:rsidRPr="00000000">
              <w:rPr>
                <w:rtl w:val="0"/>
              </w:rPr>
            </w:r>
          </w:p>
        </w:tc>
        <w:tc>
          <w:tcPr>
            <w:tcBorders>
              <w:top w:color="bdc1c6" w:space="0" w:sz="8" w:val="single"/>
              <w:left w:color="bdc1c6" w:space="0" w:sz="8" w:val="single"/>
              <w:bottom w:color="bdc1c6" w:space="0" w:sz="8" w:val="single"/>
              <w:right w:color="000000" w:space="0" w:sz="0" w:val="nil"/>
            </w:tcBorders>
            <w:tcMar>
              <w:top w:w="144.0" w:type="dxa"/>
              <w:left w:w="144.0" w:type="dxa"/>
              <w:bottom w:w="144.0" w:type="dxa"/>
              <w:right w:w="144.0" w:type="dxa"/>
            </w:tcMar>
          </w:tcPr>
          <w:p w:rsidR="00000000" w:rsidDel="00000000" w:rsidP="00000000" w:rsidRDefault="00000000" w:rsidRPr="00000000" w14:paraId="00000007">
            <w:pPr>
              <w:spacing w:line="240" w:lineRule="auto"/>
              <w:rPr/>
            </w:pPr>
            <w:r w:rsidDel="00000000" w:rsidR="00000000" w:rsidRPr="00000000">
              <w:rPr>
                <w:rtl w:val="0"/>
              </w:rPr>
              <w:t xml:space="preserve">Person</w:t>
            </w:r>
            <w:r w:rsidDel="00000000" w:rsidR="00000000" w:rsidRPr="00000000">
              <w:rPr>
                <w:rtl w:val="0"/>
              </w:rPr>
            </w:r>
          </w:p>
        </w:tc>
      </w:tr>
      <w:tr>
        <w:trPr>
          <w:cantSplit w:val="0"/>
          <w:tblHeader w:val="0"/>
        </w:trPr>
        <w:tc>
          <w:tcPr>
            <w:tcBorders>
              <w:top w:color="bdc1c6" w:space="0" w:sz="8" w:val="single"/>
              <w:left w:color="000000" w:space="0" w:sz="0" w:val="nil"/>
              <w:bottom w:color="bdc1c6" w:space="0" w:sz="8" w:val="single"/>
              <w:right w:color="bdc1c6" w:space="0" w:sz="8" w:val="single"/>
            </w:tcBorders>
            <w:shd w:fill="f1f3f4" w:val="clear"/>
            <w:tcMar>
              <w:top w:w="144.0" w:type="dxa"/>
              <w:left w:w="144.0" w:type="dxa"/>
              <w:bottom w:w="144.0" w:type="dxa"/>
              <w:right w:w="144.0" w:type="dxa"/>
            </w:tcMar>
          </w:tcPr>
          <w:p w:rsidR="00000000" w:rsidDel="00000000" w:rsidP="00000000" w:rsidRDefault="00000000" w:rsidRPr="00000000" w14:paraId="00000008">
            <w:pPr>
              <w:spacing w:line="240" w:lineRule="auto"/>
              <w:jc w:val="right"/>
              <w:rPr/>
            </w:pPr>
            <w:r w:rsidDel="00000000" w:rsidR="00000000" w:rsidRPr="00000000">
              <w:rPr>
                <w:b w:val="1"/>
                <w:rtl w:val="0"/>
              </w:rPr>
              <w:t xml:space="preserve">Subject</w:t>
            </w:r>
            <w:r w:rsidDel="00000000" w:rsidR="00000000" w:rsidRPr="00000000">
              <w:rPr>
                <w:rtl w:val="0"/>
              </w:rPr>
            </w:r>
          </w:p>
        </w:tc>
        <w:tc>
          <w:tcPr>
            <w:tcBorders>
              <w:top w:color="bdc1c6" w:space="0" w:sz="8" w:val="single"/>
              <w:left w:color="bdc1c6" w:space="0" w:sz="8" w:val="single"/>
              <w:bottom w:color="bdc1c6" w:space="0" w:sz="8" w:val="single"/>
              <w:right w:color="000000" w:space="0" w:sz="0" w:val="nil"/>
            </w:tcBorders>
            <w:tcMar>
              <w:top w:w="144.0" w:type="dxa"/>
              <w:left w:w="144.0" w:type="dxa"/>
              <w:bottom w:w="144.0" w:type="dxa"/>
              <w:right w:w="144.0" w:type="dxa"/>
            </w:tcMar>
          </w:tcPr>
          <w:p w:rsidR="00000000" w:rsidDel="00000000" w:rsidP="00000000" w:rsidRDefault="00000000" w:rsidRPr="00000000" w14:paraId="00000009">
            <w:pPr>
              <w:spacing w:line="240" w:lineRule="auto"/>
              <w:rPr/>
            </w:pPr>
            <w:r w:rsidDel="00000000" w:rsidR="00000000" w:rsidRPr="00000000">
              <w:rPr>
                <w:rtl w:val="0"/>
              </w:rPr>
              <w:t xml:space="preserve">Up to 30%-60% annual cost savings Opportunity for VMC Migration</w:t>
            </w:r>
          </w:p>
        </w:tc>
      </w:tr>
      <w:tr>
        <w:trPr>
          <w:cantSplit w:val="0"/>
          <w:trHeight w:val="2000" w:hRule="atLeast"/>
          <w:tblHeader w:val="0"/>
        </w:trPr>
        <w:tc>
          <w:tcPr>
            <w:gridSpan w:val="2"/>
            <w:tcBorders>
              <w:top w:color="bdc1c6" w:space="0" w:sz="8" w:val="single"/>
              <w:left w:color="000000" w:space="0" w:sz="0" w:val="nil"/>
              <w:bottom w:color="bdc1c6" w:space="0" w:sz="8" w:val="single"/>
              <w:right w:color="bdc1c6" w:space="0" w:sz="8" w:val="single"/>
            </w:tcBorders>
            <w:tcMar>
              <w:top w:w="240.0" w:type="dxa"/>
              <w:left w:w="144.0" w:type="dxa"/>
              <w:bottom w:w="144.0" w:type="dxa"/>
              <w:right w:w="144.0" w:type="dxa"/>
            </w:tcMar>
          </w:tcPr>
          <w:p w:rsidR="00000000" w:rsidDel="00000000" w:rsidP="00000000" w:rsidRDefault="00000000" w:rsidRPr="00000000" w14:paraId="0000000A">
            <w:pPr>
              <w:spacing w:line="240" w:lineRule="auto"/>
              <w:rPr>
                <w:color w:val="222222"/>
                <w:sz w:val="20"/>
                <w:szCs w:val="20"/>
              </w:rPr>
            </w:pPr>
            <w:r w:rsidDel="00000000" w:rsidR="00000000" w:rsidRPr="00000000">
              <w:rPr>
                <w:color w:val="222222"/>
                <w:sz w:val="20"/>
                <w:szCs w:val="20"/>
                <w:rtl w:val="0"/>
              </w:rPr>
              <w:t xml:space="preserve">Email 1: </w:t>
            </w:r>
          </w:p>
          <w:p w:rsidR="00000000" w:rsidDel="00000000" w:rsidP="00000000" w:rsidRDefault="00000000" w:rsidRPr="00000000" w14:paraId="0000000B">
            <w:pPr>
              <w:spacing w:line="240" w:lineRule="auto"/>
              <w:rPr>
                <w:color w:val="222222"/>
                <w:sz w:val="20"/>
                <w:szCs w:val="20"/>
              </w:rPr>
            </w:pPr>
            <w:r w:rsidDel="00000000" w:rsidR="00000000" w:rsidRPr="00000000">
              <w:rPr>
                <w:color w:val="222222"/>
                <w:sz w:val="20"/>
                <w:szCs w:val="20"/>
                <w:rtl w:val="0"/>
              </w:rPr>
              <w:t xml:space="preserve">Subject: Potential Cost Savings Opportunity for VMC and EC2 </w:t>
            </w:r>
          </w:p>
          <w:p w:rsidR="00000000" w:rsidDel="00000000" w:rsidP="00000000" w:rsidRDefault="00000000" w:rsidRPr="00000000" w14:paraId="0000000C">
            <w:pPr>
              <w:spacing w:line="240" w:lineRule="auto"/>
              <w:rPr>
                <w:color w:val="222222"/>
                <w:sz w:val="24"/>
                <w:szCs w:val="24"/>
              </w:rPr>
            </w:pPr>
            <w:r w:rsidDel="00000000" w:rsidR="00000000" w:rsidRPr="00000000">
              <w:rPr>
                <w:color w:val="222222"/>
                <w:sz w:val="20"/>
                <w:szCs w:val="20"/>
                <w:rtl w:val="0"/>
              </w:rPr>
              <w:br w:type="textWrapping"/>
              <w:br w:type="textWrapping"/>
            </w:r>
            <w:r w:rsidDel="00000000" w:rsidR="00000000" w:rsidRPr="00000000">
              <w:rPr>
                <w:color w:val="222222"/>
                <w:sz w:val="24"/>
                <w:szCs w:val="24"/>
                <w:rtl w:val="0"/>
              </w:rPr>
              <w:t xml:space="preserve">Dear ___________,</w:t>
            </w:r>
          </w:p>
          <w:p w:rsidR="00000000" w:rsidDel="00000000" w:rsidP="00000000" w:rsidRDefault="00000000" w:rsidRPr="00000000" w14:paraId="0000000D">
            <w:pPr>
              <w:spacing w:line="240" w:lineRule="auto"/>
              <w:rPr>
                <w:color w:val="222222"/>
                <w:sz w:val="24"/>
                <w:szCs w:val="24"/>
              </w:rPr>
            </w:pPr>
            <w:r w:rsidDel="00000000" w:rsidR="00000000" w:rsidRPr="00000000">
              <w:rPr>
                <w:color w:val="222222"/>
                <w:sz w:val="24"/>
                <w:szCs w:val="24"/>
                <w:rtl w:val="0"/>
              </w:rPr>
              <w:t xml:space="preserve">We connected previously regarding VMC, and we wanted to share information about a significant cost savings opportunity related to it.</w:t>
              <w:br w:type="textWrapping"/>
            </w:r>
          </w:p>
          <w:p w:rsidR="00000000" w:rsidDel="00000000" w:rsidP="00000000" w:rsidRDefault="00000000" w:rsidRPr="00000000" w14:paraId="0000000E">
            <w:pPr>
              <w:spacing w:line="240" w:lineRule="auto"/>
              <w:rPr>
                <w:color w:val="222222"/>
                <w:sz w:val="24"/>
                <w:szCs w:val="24"/>
              </w:rPr>
            </w:pPr>
            <w:r w:rsidDel="00000000" w:rsidR="00000000" w:rsidRPr="00000000">
              <w:rPr>
                <w:color w:val="222222"/>
                <w:sz w:val="24"/>
                <w:szCs w:val="24"/>
                <w:rtl w:val="0"/>
              </w:rPr>
              <w:t xml:space="preserve">Organizations can potentially achieve 30-60% annual cost savings by migrating their VMC and EC2 VMs to Red Hat OpenShift Service on AWS (ROSA). This is feasible because ROSA utilizes hardware overcommit, resulting in lower vCPU consumption per VM. </w:t>
              <w:br w:type="textWrapping"/>
            </w:r>
          </w:p>
          <w:p w:rsidR="00000000" w:rsidDel="00000000" w:rsidP="00000000" w:rsidRDefault="00000000" w:rsidRPr="00000000" w14:paraId="0000000F">
            <w:pPr>
              <w:spacing w:line="240" w:lineRule="auto"/>
              <w:rPr>
                <w:color w:val="222222"/>
                <w:sz w:val="24"/>
                <w:szCs w:val="24"/>
                <w:highlight w:val="white"/>
              </w:rPr>
            </w:pPr>
            <w:r w:rsidDel="00000000" w:rsidR="00000000" w:rsidRPr="00000000">
              <w:rPr>
                <w:color w:val="222222"/>
                <w:sz w:val="24"/>
                <w:szCs w:val="24"/>
                <w:highlight w:val="white"/>
                <w:rtl w:val="0"/>
              </w:rPr>
              <w:t xml:space="preserve">Since ROSA is only purchased from AWS, it </w:t>
            </w:r>
            <w:r w:rsidDel="00000000" w:rsidR="00000000" w:rsidRPr="00000000">
              <w:rPr>
                <w:b w:val="1"/>
                <w:color w:val="222222"/>
                <w:sz w:val="24"/>
                <w:szCs w:val="24"/>
                <w:highlight w:val="white"/>
                <w:rtl w:val="0"/>
              </w:rPr>
              <w:t xml:space="preserve">counts 100% toward your EDP, </w:t>
            </w:r>
            <w:r w:rsidDel="00000000" w:rsidR="00000000" w:rsidRPr="00000000">
              <w:rPr>
                <w:color w:val="222222"/>
                <w:sz w:val="24"/>
                <w:szCs w:val="24"/>
                <w:highlight w:val="white"/>
                <w:rtl w:val="0"/>
              </w:rPr>
              <w:t xml:space="preserve">and</w:t>
            </w:r>
            <w:r w:rsidDel="00000000" w:rsidR="00000000" w:rsidRPr="00000000">
              <w:rPr>
                <w:b w:val="1"/>
                <w:color w:val="222222"/>
                <w:sz w:val="24"/>
                <w:szCs w:val="24"/>
                <w:highlight w:val="white"/>
                <w:rtl w:val="0"/>
              </w:rPr>
              <w:t xml:space="preserve"> </w:t>
            </w:r>
            <w:r w:rsidDel="00000000" w:rsidR="00000000" w:rsidRPr="00000000">
              <w:rPr>
                <w:color w:val="222222"/>
                <w:sz w:val="24"/>
                <w:szCs w:val="24"/>
                <w:highlight w:val="white"/>
                <w:rtl w:val="0"/>
              </w:rPr>
              <w:t xml:space="preserve">I understand AWS has </w:t>
            </w:r>
            <w:r w:rsidDel="00000000" w:rsidR="00000000" w:rsidRPr="00000000">
              <w:rPr>
                <w:b w:val="1"/>
                <w:color w:val="222222"/>
                <w:sz w:val="24"/>
                <w:szCs w:val="24"/>
                <w:highlight w:val="white"/>
                <w:rtl w:val="0"/>
              </w:rPr>
              <w:t xml:space="preserve">additional incentives specific to VMC migrations. </w:t>
            </w:r>
            <w:r w:rsidDel="00000000" w:rsidR="00000000" w:rsidRPr="00000000">
              <w:rPr>
                <w:color w:val="222222"/>
                <w:sz w:val="24"/>
                <w:szCs w:val="24"/>
                <w:highlight w:val="white"/>
                <w:rtl w:val="0"/>
              </w:rPr>
              <w:t xml:space="preserve">ROSA lets you run both VMs and containers in the same unified platform, with scale and security. </w:t>
              <w:br w:type="textWrapping"/>
              <w:t xml:space="preserve"> </w:t>
              <w:br w:type="textWrapping"/>
            </w:r>
            <w:r w:rsidDel="00000000" w:rsidR="00000000" w:rsidRPr="00000000">
              <w:rPr>
                <w:b w:val="1"/>
                <w:i w:val="1"/>
                <w:color w:val="222222"/>
                <w:sz w:val="24"/>
                <w:szCs w:val="24"/>
                <w:highlight w:val="white"/>
                <w:rtl w:val="0"/>
              </w:rPr>
              <w:t xml:space="preserve">COMPANY NAME</w:t>
            </w:r>
            <w:r w:rsidDel="00000000" w:rsidR="00000000" w:rsidRPr="00000000">
              <w:rPr>
                <w:color w:val="222222"/>
                <w:sz w:val="24"/>
                <w:szCs w:val="24"/>
                <w:highlight w:val="white"/>
                <w:rtl w:val="0"/>
              </w:rPr>
              <w:t xml:space="preserve"> can keep running VM's as is, or modernize at your own pace with other integrated AWS native services. I've attached real customer cost savings examples, and AWS info about ROSA benefits below. </w:t>
            </w:r>
            <w:r w:rsidDel="00000000" w:rsidR="00000000" w:rsidRPr="00000000">
              <w:rPr>
                <w:color w:val="222222"/>
                <w:sz w:val="24"/>
                <w:szCs w:val="24"/>
                <w:highlight w:val="white"/>
                <w:rtl w:val="0"/>
              </w:rPr>
              <w:t xml:space="preserve">Check out this </w:t>
            </w:r>
            <w:hyperlink r:id="rId6">
              <w:r w:rsidDel="00000000" w:rsidR="00000000" w:rsidRPr="00000000">
                <w:rPr>
                  <w:color w:val="1155cc"/>
                  <w:sz w:val="24"/>
                  <w:szCs w:val="24"/>
                  <w:highlight w:val="white"/>
                  <w:u w:val="single"/>
                  <w:rtl w:val="0"/>
                </w:rPr>
                <w:t xml:space="preserve">vide</w:t>
              </w:r>
            </w:hyperlink>
            <w:hyperlink r:id="rId7">
              <w:r w:rsidDel="00000000" w:rsidR="00000000" w:rsidRPr="00000000">
                <w:rPr>
                  <w:color w:val="1155cc"/>
                  <w:sz w:val="24"/>
                  <w:szCs w:val="24"/>
                  <w:highlight w:val="white"/>
                  <w:u w:val="single"/>
                  <w:rtl w:val="0"/>
                </w:rPr>
                <w:t xml:space="preserve">o</w:t>
              </w:r>
            </w:hyperlink>
            <w:r w:rsidDel="00000000" w:rsidR="00000000" w:rsidRPr="00000000">
              <w:rPr>
                <w:color w:val="222222"/>
                <w:sz w:val="24"/>
                <w:szCs w:val="24"/>
                <w:highlight w:val="white"/>
                <w:rtl w:val="0"/>
              </w:rPr>
              <w:t xml:space="preserve"> to learn more about how you can migrate your EC2 instances to OpenShift Virtualization on ROSA utilizing River Meadow. With your EC2 usage report, Red Hat can project potential cost savings, and then over a few days with your team, could do a $0 migration of 50 VM's to prove it before committing to anything. </w:t>
            </w:r>
          </w:p>
          <w:p w:rsidR="00000000" w:rsidDel="00000000" w:rsidP="00000000" w:rsidRDefault="00000000" w:rsidRPr="00000000" w14:paraId="00000010">
            <w:pPr>
              <w:shd w:fill="ffffff" w:val="clear"/>
              <w:spacing w:line="240" w:lineRule="auto"/>
              <w:rPr>
                <w:color w:val="222222"/>
                <w:sz w:val="24"/>
                <w:szCs w:val="24"/>
                <w:highlight w:val="white"/>
              </w:rPr>
            </w:pPr>
            <w:r w:rsidDel="00000000" w:rsidR="00000000" w:rsidRPr="00000000">
              <w:rPr>
                <w:rtl w:val="0"/>
              </w:rPr>
            </w:r>
          </w:p>
          <w:p w:rsidR="00000000" w:rsidDel="00000000" w:rsidP="00000000" w:rsidRDefault="00000000" w:rsidRPr="00000000" w14:paraId="00000011">
            <w:pPr>
              <w:shd w:fill="ffffff" w:val="clear"/>
              <w:spacing w:line="240" w:lineRule="auto"/>
              <w:rPr>
                <w:color w:val="222222"/>
                <w:sz w:val="24"/>
                <w:szCs w:val="24"/>
                <w:highlight w:val="white"/>
              </w:rPr>
            </w:pPr>
            <w:r w:rsidDel="00000000" w:rsidR="00000000" w:rsidRPr="00000000">
              <w:rPr>
                <w:color w:val="222222"/>
                <w:sz w:val="24"/>
                <w:szCs w:val="24"/>
                <w:highlight w:val="white"/>
                <w:rtl w:val="0"/>
              </w:rPr>
              <w:t xml:space="preserve">Let us know who we can work with on this, thanks.</w:t>
            </w:r>
          </w:p>
          <w:p w:rsidR="00000000" w:rsidDel="00000000" w:rsidP="00000000" w:rsidRDefault="00000000" w:rsidRPr="00000000" w14:paraId="00000012">
            <w:pPr>
              <w:spacing w:line="240" w:lineRule="auto"/>
              <w:rPr>
                <w:color w:val="222222"/>
                <w:sz w:val="24"/>
                <w:szCs w:val="24"/>
                <w:highlight w:val="white"/>
              </w:rPr>
            </w:pPr>
            <w:r w:rsidDel="00000000" w:rsidR="00000000" w:rsidRPr="00000000">
              <w:rPr>
                <w:rtl w:val="0"/>
              </w:rPr>
            </w:r>
          </w:p>
          <w:p w:rsidR="00000000" w:rsidDel="00000000" w:rsidP="00000000" w:rsidRDefault="00000000" w:rsidRPr="00000000" w14:paraId="00000013">
            <w:pPr>
              <w:spacing w:line="240" w:lineRule="auto"/>
              <w:rPr>
                <w:color w:val="222222"/>
                <w:sz w:val="24"/>
                <w:szCs w:val="24"/>
                <w:highlight w:val="white"/>
              </w:rPr>
            </w:pPr>
            <w:r w:rsidDel="00000000" w:rsidR="00000000" w:rsidRPr="00000000">
              <w:rPr>
                <w:color w:val="222222"/>
                <w:sz w:val="24"/>
                <w:szCs w:val="24"/>
                <w:highlight w:val="white"/>
                <w:rtl w:val="0"/>
              </w:rPr>
              <w:t xml:space="preserve">(Attach the </w:t>
            </w:r>
            <w:hyperlink r:id="rId8">
              <w:r w:rsidDel="00000000" w:rsidR="00000000" w:rsidRPr="00000000">
                <w:rPr>
                  <w:color w:val="1155cc"/>
                  <w:sz w:val="24"/>
                  <w:szCs w:val="24"/>
                  <w:highlight w:val="white"/>
                  <w:u w:val="single"/>
                  <w:rtl w:val="0"/>
                </w:rPr>
                <w:t xml:space="preserve">AWS Cloud Cost Optimization 1-pager</w:t>
              </w:r>
            </w:hyperlink>
            <w:r w:rsidDel="00000000" w:rsidR="00000000" w:rsidRPr="00000000">
              <w:rPr>
                <w:color w:val="222222"/>
                <w:sz w:val="24"/>
                <w:szCs w:val="24"/>
                <w:highlight w:val="white"/>
                <w:rtl w:val="0"/>
              </w:rPr>
              <w:t xml:space="preserve"> and </w:t>
            </w:r>
            <w:hyperlink r:id="rId9">
              <w:r w:rsidDel="00000000" w:rsidR="00000000" w:rsidRPr="00000000">
                <w:rPr>
                  <w:color w:val="1155cc"/>
                  <w:sz w:val="24"/>
                  <w:szCs w:val="24"/>
                  <w:highlight w:val="white"/>
                  <w:u w:val="single"/>
                  <w:rtl w:val="0"/>
                </w:rPr>
                <w:t xml:space="preserve">AWS+RH Handout files</w:t>
              </w:r>
            </w:hyperlink>
            <w:r w:rsidDel="00000000" w:rsidR="00000000" w:rsidRPr="00000000">
              <w:rPr>
                <w:color w:val="222222"/>
                <w:sz w:val="24"/>
                <w:szCs w:val="24"/>
                <w:highlight w:val="white"/>
                <w:rtl w:val="0"/>
              </w:rPr>
              <w:t xml:space="preserve"> as attachments)</w:t>
            </w:r>
          </w:p>
        </w:tc>
      </w:tr>
    </w:tbl>
    <w:p w:rsidR="00000000" w:rsidDel="00000000" w:rsidP="00000000" w:rsidRDefault="00000000" w:rsidRPr="00000000" w14:paraId="0000001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lEmQDQSy4veyqm41w-c3gG0p37u1KCp0/view?usp=drive_link" TargetMode="External"/><Relationship Id="rId5" Type="http://schemas.openxmlformats.org/officeDocument/2006/relationships/styles" Target="styles.xml"/><Relationship Id="rId6" Type="http://schemas.openxmlformats.org/officeDocument/2006/relationships/hyperlink" Target="https://www.youtube.com/watch?v=YJNvGX7tbkg" TargetMode="External"/><Relationship Id="rId7" Type="http://schemas.openxmlformats.org/officeDocument/2006/relationships/hyperlink" Target="https://www.youtube.com/watch?v=YJNvGX7tbkg" TargetMode="External"/><Relationship Id="rId8" Type="http://schemas.openxmlformats.org/officeDocument/2006/relationships/hyperlink" Target="https://docs.google.com/presentation/d/1qLfoHLrca5y2tldZ3LpNPa5YYDzxRR5Rphsa9lUDZP8/edit?slide=id.g31d24591198_0_0#slide=id.g31d24591198_0_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