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D4A" w:rsidRDefault="00152DC4">
      <w:pPr>
        <w:spacing w:before="480" w:after="120"/>
        <w:jc w:val="center"/>
      </w:pPr>
      <w:r>
        <w:rPr>
          <w:b/>
          <w:bCs/>
          <w:color w:val="2E75B6"/>
          <w:sz w:val="52"/>
          <w:szCs w:val="52"/>
        </w:rPr>
        <w:t>HR Workforce Analysis</w:t>
      </w:r>
    </w:p>
    <w:p w:rsidR="00675D4A" w:rsidRDefault="00152DC4">
      <w:pPr>
        <w:spacing w:after="60"/>
        <w:jc w:val="center"/>
      </w:pPr>
      <w:r>
        <w:rPr>
          <w:i/>
          <w:iCs/>
          <w:color w:val="6B7280"/>
          <w:sz w:val="28"/>
          <w:szCs w:val="28"/>
        </w:rPr>
        <w:t>Business Insights Report</w:t>
      </w:r>
    </w:p>
    <w:p w:rsidR="00675D4A" w:rsidRDefault="00152DC4">
      <w:pPr>
        <w:spacing w:after="480"/>
        <w:jc w:val="center"/>
      </w:pPr>
      <w:r>
        <w:rPr>
          <w:color w:val="6B7280"/>
          <w:sz w:val="20"/>
          <w:szCs w:val="20"/>
        </w:rPr>
        <w:t xml:space="preserve">Haider B.  </w:t>
      </w:r>
      <w:proofErr w:type="gramStart"/>
      <w:r>
        <w:rPr>
          <w:color w:val="6B7280"/>
          <w:sz w:val="20"/>
          <w:szCs w:val="20"/>
        </w:rPr>
        <w:t>|  Python</w:t>
      </w:r>
      <w:proofErr w:type="gramEnd"/>
      <w:r>
        <w:rPr>
          <w:color w:val="6B7280"/>
          <w:sz w:val="20"/>
          <w:szCs w:val="20"/>
        </w:rPr>
        <w:t xml:space="preserve"> &amp; Pandas  |  2026</w:t>
      </w:r>
    </w:p>
    <w:p w:rsidR="00675D4A" w:rsidRDefault="00152DC4">
      <w:pPr>
        <w:pStyle w:val="Heading1"/>
        <w:pBdr>
          <w:bottom w:val="single" w:sz="6" w:space="1" w:color="2E75B6"/>
        </w:pBdr>
      </w:pPr>
      <w:r>
        <w:t>Dataset Overview</w:t>
      </w:r>
    </w:p>
    <w:p w:rsidR="00675D4A" w:rsidRDefault="00675D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75D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b/>
                <w:bCs/>
                <w:sz w:val="20"/>
                <w:szCs w:val="20"/>
              </w:rPr>
              <w:t>Records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sz w:val="20"/>
                <w:szCs w:val="20"/>
              </w:rPr>
              <w:t>1,000+ employee records</w:t>
            </w:r>
          </w:p>
        </w:tc>
      </w:tr>
      <w:tr w:rsidR="00675D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sz w:val="20"/>
                <w:szCs w:val="20"/>
              </w:rPr>
              <w:t>hr</w:t>
            </w:r>
            <w:r>
              <w:rPr>
                <w:sz w:val="20"/>
                <w:szCs w:val="20"/>
              </w:rPr>
              <w:t>_dataset.csv (cleaned &amp; preprocessed)</w:t>
            </w:r>
          </w:p>
        </w:tc>
      </w:tr>
      <w:tr w:rsidR="00675D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b/>
                <w:bCs/>
                <w:sz w:val="20"/>
                <w:szCs w:val="20"/>
              </w:rPr>
              <w:t>Columns Used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sz w:val="20"/>
                <w:szCs w:val="20"/>
              </w:rPr>
              <w:t>Age, Salary, Department, Region, Tenure, Performance Score, Remote Work, Status</w:t>
            </w:r>
          </w:p>
        </w:tc>
      </w:tr>
      <w:tr w:rsidR="00675D4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5D4A" w:rsidRDefault="00152DC4">
            <w:r>
              <w:rPr>
                <w:sz w:val="20"/>
                <w:szCs w:val="20"/>
              </w:rPr>
              <w:t xml:space="preserve">Python, 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Matplotlib, </w:t>
            </w:r>
            <w:proofErr w:type="spellStart"/>
            <w:r>
              <w:rPr>
                <w:sz w:val="20"/>
                <w:szCs w:val="20"/>
              </w:rPr>
              <w:t>Seaborn</w:t>
            </w:r>
            <w:proofErr w:type="spellEnd"/>
          </w:p>
        </w:tc>
      </w:tr>
    </w:tbl>
    <w:p w:rsidR="00675D4A" w:rsidRDefault="00675D4A">
      <w:pPr>
        <w:spacing w:before="100" w:after="100"/>
      </w:pPr>
    </w:p>
    <w:p w:rsidR="00675D4A" w:rsidRDefault="00152DC4">
      <w:pPr>
        <w:pStyle w:val="Heading1"/>
        <w:pBdr>
          <w:bottom w:val="single" w:sz="6" w:space="1" w:color="2E75B6"/>
        </w:pBdr>
      </w:pPr>
      <w:r>
        <w:t>1. Attrition Analysis</w:t>
      </w:r>
    </w:p>
    <w:p w:rsidR="00675D4A" w:rsidRDefault="00152DC4">
      <w:pPr>
        <w:pStyle w:val="Heading2"/>
      </w:pPr>
      <w:r>
        <w:t>Which department has the highest turnover?</w:t>
      </w:r>
    </w:p>
    <w:p w:rsidR="00675D4A" w:rsidRDefault="00152DC4">
      <w:pPr>
        <w:spacing w:before="60" w:after="60"/>
      </w:pPr>
      <w:r>
        <w:rPr>
          <w:color w:val="1F2937"/>
        </w:rPr>
        <w:t>Finance has the highest turnover rate with 62 inactive empl</w:t>
      </w:r>
      <w:r>
        <w:rPr>
          <w:color w:val="1F2937"/>
        </w:rPr>
        <w:t xml:space="preserve">oyees, comprising 36.47% of its total headcount — concentrated in Low and </w:t>
      </w:r>
      <w:proofErr w:type="gramStart"/>
      <w:r>
        <w:rPr>
          <w:color w:val="1F2937"/>
        </w:rPr>
        <w:t>Mid</w:t>
      </w:r>
      <w:proofErr w:type="gramEnd"/>
      <w:r>
        <w:rPr>
          <w:color w:val="1F2937"/>
        </w:rPr>
        <w:t xml:space="preserve"> salary bands.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Finance needs stabilization. The high resignation rate in lower salary bands strongly suggests compensation is the primary driver of attrition in this depa</w:t>
      </w:r>
      <w:r>
        <w:rPr>
          <w:i/>
          <w:iCs/>
          <w:color w:val="1F2937"/>
        </w:rPr>
        <w:t>rtment.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>Are high performers leaving more than low performers?</w:t>
      </w:r>
    </w:p>
    <w:p w:rsidR="00675D4A" w:rsidRDefault="00152DC4">
      <w:pPr>
        <w:spacing w:before="60" w:after="60"/>
      </w:pPr>
      <w:r>
        <w:rPr>
          <w:color w:val="1F2937"/>
        </w:rPr>
        <w:t xml:space="preserve">Out of 312 total </w:t>
      </w:r>
      <w:proofErr w:type="spellStart"/>
      <w:r>
        <w:rPr>
          <w:color w:val="1F2937"/>
        </w:rPr>
        <w:t>resignees</w:t>
      </w:r>
      <w:proofErr w:type="spellEnd"/>
      <w:r>
        <w:rPr>
          <w:color w:val="1F2937"/>
        </w:rPr>
        <w:t>, 77 were high performers and 235 were not.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Low performers are more likely to leave than high performers — this is the expected and healthy pattern. However, 77 high performer exits is still a number worth monitoring.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>Do remote workers stay longer than on-site?</w:t>
      </w:r>
    </w:p>
    <w:p w:rsidR="00675D4A" w:rsidRDefault="00152DC4">
      <w:pPr>
        <w:spacing w:before="60" w:after="60"/>
      </w:pPr>
      <w:r>
        <w:rPr>
          <w:color w:val="1F2937"/>
        </w:rPr>
        <w:t>In the 6-10 year tenure group: 134 on</w:t>
      </w:r>
      <w:r>
        <w:rPr>
          <w:color w:val="1F2937"/>
        </w:rPr>
        <w:t>-site vs 128 remote workers. On-site employees show slightly higher long-term retention.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On-site workers stay marginally longer, but the difference is negligible. Remote work is not a significant driver of early exit.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lastRenderedPageBreak/>
        <w:t>Which salary band sees the m</w:t>
      </w:r>
      <w:r>
        <w:t>ost resignations?</w:t>
      </w:r>
    </w:p>
    <w:p w:rsidR="00675D4A" w:rsidRDefault="00152DC4">
      <w:pPr>
        <w:spacing w:before="60" w:after="60"/>
      </w:pPr>
      <w:r>
        <w:rPr>
          <w:color w:val="1F2937"/>
        </w:rPr>
        <w:t xml:space="preserve">Mid band: 110 </w:t>
      </w:r>
      <w:proofErr w:type="spellStart"/>
      <w:r>
        <w:rPr>
          <w:color w:val="1F2937"/>
        </w:rPr>
        <w:t>resignees</w:t>
      </w:r>
      <w:proofErr w:type="spellEnd"/>
      <w:r>
        <w:rPr>
          <w:color w:val="1F2937"/>
        </w:rPr>
        <w:t xml:space="preserve">. Low band: 108 </w:t>
      </w:r>
      <w:proofErr w:type="spellStart"/>
      <w:r>
        <w:rPr>
          <w:color w:val="1F2937"/>
        </w:rPr>
        <w:t>resignees</w:t>
      </w:r>
      <w:proofErr w:type="spellEnd"/>
      <w:r>
        <w:rPr>
          <w:color w:val="1F2937"/>
        </w:rPr>
        <w:t>. High band: significantly fewer.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 xml:space="preserve">Employees are most likely to leave in Low and </w:t>
      </w:r>
      <w:proofErr w:type="gramStart"/>
      <w:r>
        <w:rPr>
          <w:i/>
          <w:iCs/>
          <w:color w:val="1F2937"/>
        </w:rPr>
        <w:t>Mid</w:t>
      </w:r>
      <w:proofErr w:type="gramEnd"/>
      <w:r>
        <w:rPr>
          <w:i/>
          <w:iCs/>
          <w:color w:val="1F2937"/>
        </w:rPr>
        <w:t xml:space="preserve"> salary bands. Raising compensation floors could directly reduce attrition.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 xml:space="preserve">Which region retains </w:t>
      </w:r>
      <w:r>
        <w:t>employees best?</w:t>
      </w:r>
    </w:p>
    <w:p w:rsidR="00675D4A" w:rsidRDefault="00152DC4">
      <w:pPr>
        <w:spacing w:before="60" w:after="60"/>
      </w:pPr>
      <w:r>
        <w:rPr>
          <w:color w:val="1F2937"/>
        </w:rPr>
        <w:t>New York, California, and Illinois lead in retention with the highest Active-to-Inactive ratios. Florida and Nevada rank lowest.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 xml:space="preserve">Florida and Nevada have a structural retention problem. Region-specific HR interventions are needed — </w:t>
      </w:r>
      <w:r>
        <w:rPr>
          <w:i/>
          <w:iCs/>
          <w:color w:val="1F2937"/>
        </w:rPr>
        <w:t>not a blanket policy.</w:t>
      </w:r>
    </w:p>
    <w:p w:rsidR="00675D4A" w:rsidRDefault="00675D4A">
      <w:pPr>
        <w:spacing w:before="100" w:after="100"/>
      </w:pPr>
    </w:p>
    <w:p w:rsidR="00675D4A" w:rsidRDefault="00152DC4">
      <w:pPr>
        <w:pStyle w:val="Heading1"/>
        <w:pBdr>
          <w:bottom w:val="single" w:sz="6" w:space="1" w:color="2E75B6"/>
        </w:pBdr>
      </w:pPr>
      <w:r>
        <w:t>2. Compensation Analysis</w:t>
      </w:r>
    </w:p>
    <w:p w:rsidR="00675D4A" w:rsidRDefault="00152DC4">
      <w:pPr>
        <w:pStyle w:val="Heading2"/>
      </w:pPr>
      <w:r>
        <w:t>Is salary connected to performance?</w:t>
      </w:r>
    </w:p>
    <w:p w:rsidR="00675D4A" w:rsidRDefault="00152DC4">
      <w:pPr>
        <w:spacing w:before="60" w:after="60"/>
      </w:pPr>
      <w:r>
        <w:rPr>
          <w:color w:val="1F2937"/>
        </w:rPr>
        <w:t>High performers with High salary band: 96. With Low band: 90. With Mid band: 81. Additionally, 73 poor performers sit in the High salary band.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Salary is disconnect</w:t>
      </w:r>
      <w:r>
        <w:rPr>
          <w:i/>
          <w:iCs/>
          <w:color w:val="1F2937"/>
        </w:rPr>
        <w:t>ed from performance. Poor performers are being overpaid while high performers are underpaid — this needs an immediate pay-for-performance restructuring.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>Does the same role pay differently across regions?</w:t>
      </w:r>
    </w:p>
    <w:p w:rsidR="00675D4A" w:rsidRDefault="00152DC4">
      <w:pPr>
        <w:spacing w:before="60" w:after="60"/>
      </w:pPr>
      <w:r>
        <w:rPr>
          <w:color w:val="1F2937"/>
        </w:rPr>
        <w:t>Admin roles in Nevada cluster in the Low band (17 e</w:t>
      </w:r>
      <w:r>
        <w:rPr>
          <w:color w:val="1F2937"/>
        </w:rPr>
        <w:t>mployees), while the same role in Illinois sits mostly in the High band (15 employees).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Employees in the same role are paid very differently based on their region, not their performance. This is a clear pay equity issue that needs to be fixed.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>Are senior employees stuck in low salary bands?</w:t>
      </w:r>
    </w:p>
    <w:p w:rsidR="00675D4A" w:rsidRDefault="00152DC4">
      <w:pPr>
        <w:spacing w:before="60" w:after="60"/>
      </w:pPr>
      <w:r>
        <w:rPr>
          <w:color w:val="1F2937"/>
        </w:rPr>
        <w:t>Salary bands remain flat across all tenure groups. Employees at 6-10 years are evenly split across Low, Mid, and High bands — no progression visible.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Tenure does not translate to higher pay. Long-ser</w:t>
      </w:r>
      <w:r>
        <w:rPr>
          <w:i/>
          <w:iCs/>
          <w:color w:val="1F2937"/>
        </w:rPr>
        <w:t>ving employees are not being rewarded for loyalty or seniority, which quietly fuels attrition.</w:t>
      </w:r>
    </w:p>
    <w:p w:rsidR="00675D4A" w:rsidRDefault="00675D4A">
      <w:pPr>
        <w:spacing w:before="100" w:after="100"/>
      </w:pPr>
    </w:p>
    <w:p w:rsidR="00675D4A" w:rsidRDefault="00152DC4">
      <w:pPr>
        <w:pStyle w:val="Heading1"/>
        <w:pBdr>
          <w:bottom w:val="single" w:sz="6" w:space="1" w:color="2E75B6"/>
        </w:pBdr>
      </w:pPr>
      <w:r>
        <w:t>3. Performance Analysis</w:t>
      </w:r>
    </w:p>
    <w:p w:rsidR="00675D4A" w:rsidRDefault="00152DC4">
      <w:pPr>
        <w:pStyle w:val="Heading2"/>
      </w:pPr>
      <w:r>
        <w:t xml:space="preserve">Which department produces the </w:t>
      </w:r>
      <w:proofErr w:type="gramStart"/>
      <w:r>
        <w:t>most high</w:t>
      </w:r>
      <w:proofErr w:type="gramEnd"/>
      <w:r>
        <w:t xml:space="preserve"> performers?</w:t>
      </w:r>
    </w:p>
    <w:p w:rsidR="00675D4A" w:rsidRDefault="00152DC4">
      <w:pPr>
        <w:spacing w:before="60" w:after="60"/>
      </w:pPr>
      <w:r>
        <w:rPr>
          <w:color w:val="1F2937"/>
        </w:rPr>
        <w:t>HR: 51 high performers (ratio 47:20). Sales: 50 (ratio 64:25). DevOps: 47 (ratio 151</w:t>
      </w:r>
      <w:r>
        <w:rPr>
          <w:color w:val="1F2937"/>
        </w:rPr>
        <w:t>:50) — worst non-performer ratio at 3:1.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lastRenderedPageBreak/>
        <w:t xml:space="preserve">INSIGHT: </w:t>
      </w:r>
      <w:r>
        <w:rPr>
          <w:i/>
          <w:iCs/>
          <w:color w:val="1F2937"/>
        </w:rPr>
        <w:t>HR and Sales lead in output, but DevOps has a talent quality problem. Only 1 in 4 DevOps employees is a top performer — a clear signal to reassess hiring or training in that department.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>Does remote work affect performance?</w:t>
      </w:r>
    </w:p>
    <w:p w:rsidR="00675D4A" w:rsidRDefault="00152DC4">
      <w:pPr>
        <w:spacing w:before="60" w:after="60"/>
      </w:pPr>
      <w:r>
        <w:rPr>
          <w:color w:val="1F2937"/>
        </w:rPr>
        <w:t>Remote high performers: 131. On-site high performers: 136. Negligible difference.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Remote work has no meaningful impact on performance. Output is consistent regardless of location, making remote work a low-risk,</w:t>
      </w:r>
      <w:r>
        <w:rPr>
          <w:i/>
          <w:iCs/>
          <w:color w:val="1F2937"/>
        </w:rPr>
        <w:t xml:space="preserve"> high-reward retention tool.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>Do younger or older employees perform better?</w:t>
      </w:r>
    </w:p>
    <w:p w:rsidR="00675D4A" w:rsidRDefault="00152DC4">
      <w:pPr>
        <w:spacing w:before="60" w:after="60"/>
      </w:pPr>
      <w:r>
        <w:rPr>
          <w:color w:val="1F2937"/>
        </w:rPr>
        <w:t>High performers under 35: 175. Over 35: 92. A clear gap.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 xml:space="preserve">Younger employees significantly outperform older ones. </w:t>
      </w:r>
      <w:proofErr w:type="gramStart"/>
      <w:r>
        <w:rPr>
          <w:i/>
          <w:iCs/>
          <w:color w:val="1F2937"/>
        </w:rPr>
        <w:t>Either energy and</w:t>
      </w:r>
      <w:proofErr w:type="gramEnd"/>
      <w:r>
        <w:rPr>
          <w:i/>
          <w:iCs/>
          <w:color w:val="1F2937"/>
        </w:rPr>
        <w:t xml:space="preserve"> adaptability drive output, or older emplo</w:t>
      </w:r>
      <w:r>
        <w:rPr>
          <w:i/>
          <w:iCs/>
          <w:color w:val="1F2937"/>
        </w:rPr>
        <w:t>yees are being underleveraged and need targeted re-engagement programs.</w:t>
      </w:r>
    </w:p>
    <w:p w:rsidR="00675D4A" w:rsidRDefault="00675D4A">
      <w:pPr>
        <w:spacing w:before="100" w:after="100"/>
      </w:pPr>
    </w:p>
    <w:p w:rsidR="00675D4A" w:rsidRDefault="00152DC4">
      <w:pPr>
        <w:pStyle w:val="Heading2"/>
      </w:pPr>
      <w:r>
        <w:t>Is there a tenure sweet spot for performance?</w:t>
      </w:r>
    </w:p>
    <w:p w:rsidR="00675D4A" w:rsidRDefault="00152DC4">
      <w:pPr>
        <w:spacing w:before="60" w:after="60"/>
      </w:pPr>
      <w:r>
        <w:rPr>
          <w:color w:val="1F2937"/>
        </w:rPr>
        <w:t xml:space="preserve">High performers at 3-5 years tenure: 163. Combined high performers at 0-2 </w:t>
      </w:r>
      <w:proofErr w:type="spellStart"/>
      <w:r>
        <w:rPr>
          <w:color w:val="1F2937"/>
        </w:rPr>
        <w:t>yrs</w:t>
      </w:r>
      <w:proofErr w:type="spellEnd"/>
      <w:r>
        <w:rPr>
          <w:color w:val="1F2937"/>
        </w:rPr>
        <w:t xml:space="preserve"> and 6-10 </w:t>
      </w:r>
      <w:proofErr w:type="spellStart"/>
      <w:r>
        <w:rPr>
          <w:color w:val="1F2937"/>
        </w:rPr>
        <w:t>yrs</w:t>
      </w:r>
      <w:proofErr w:type="spellEnd"/>
      <w:r>
        <w:rPr>
          <w:color w:val="1F2937"/>
        </w:rPr>
        <w:t>: 104.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Employees hit their performance</w:t>
      </w:r>
      <w:r>
        <w:rPr>
          <w:i/>
          <w:iCs/>
          <w:color w:val="1F2937"/>
        </w:rPr>
        <w:t xml:space="preserve"> peak at 3-5 years — experienced enough to deliver, not yet disengaged. Retention efforts should prioritize this window before it's lost.</w:t>
      </w:r>
    </w:p>
    <w:p w:rsidR="00675D4A" w:rsidRDefault="00675D4A">
      <w:pPr>
        <w:spacing w:before="100" w:after="100"/>
      </w:pPr>
    </w:p>
    <w:p w:rsidR="00675D4A" w:rsidRDefault="00152DC4">
      <w:pPr>
        <w:pStyle w:val="Heading1"/>
        <w:pBdr>
          <w:bottom w:val="single" w:sz="6" w:space="1" w:color="2E75B6"/>
        </w:pBdr>
      </w:pPr>
      <w:r>
        <w:t>4. Workforce Structure</w:t>
      </w:r>
    </w:p>
    <w:p w:rsidR="00675D4A" w:rsidRDefault="00152DC4">
      <w:pPr>
        <w:pStyle w:val="Heading2"/>
      </w:pPr>
      <w:r>
        <w:t>Is any department aging out?</w:t>
      </w:r>
    </w:p>
    <w:p w:rsidR="00675D4A" w:rsidRDefault="00152DC4">
      <w:pPr>
        <w:spacing w:before="60" w:after="60"/>
      </w:pPr>
      <w:r>
        <w:rPr>
          <w:color w:val="1F2937"/>
        </w:rPr>
        <w:t>The modal age across every department is 30 years old, accounting</w:t>
      </w:r>
      <w:r>
        <w:rPr>
          <w:color w:val="1F2937"/>
        </w:rPr>
        <w:t xml:space="preserve"> for 416 employees — approximately 41.6% of total staff.</w:t>
      </w:r>
    </w:p>
    <w:p w:rsidR="00675D4A" w:rsidRDefault="00152DC4">
      <w:pPr>
        <w:pBdr>
          <w:left w:val="single" w:sz="12" w:space="6" w:color="2E75B6"/>
        </w:pBdr>
        <w:spacing w:before="80" w:after="80"/>
        <w:ind w:left="400"/>
      </w:pPr>
      <w:r>
        <w:rPr>
          <w:b/>
          <w:bCs/>
          <w:color w:val="2E75B6"/>
        </w:rPr>
        <w:t xml:space="preserve">INSIGHT: </w:t>
      </w:r>
      <w:r>
        <w:rPr>
          <w:i/>
          <w:iCs/>
          <w:color w:val="1F2937"/>
        </w:rPr>
        <w:t>No department is aging out today, but this age uniformity is a future risk. If the workforce ages together without new junior hires, a retirement cliff becomes inevitable within a decade.</w:t>
      </w:r>
    </w:p>
    <w:p w:rsidR="00675D4A" w:rsidRDefault="00675D4A">
      <w:pPr>
        <w:spacing w:before="100" w:after="100"/>
      </w:pPr>
    </w:p>
    <w:p w:rsidR="00675D4A" w:rsidRDefault="00152DC4">
      <w:pPr>
        <w:pStyle w:val="Heading1"/>
        <w:pBdr>
          <w:bottom w:val="single" w:sz="6" w:space="1" w:color="2E75B6"/>
        </w:pBdr>
      </w:pPr>
      <w:r>
        <w:t>5. Recommendations</w:t>
      </w:r>
    </w:p>
    <w:p w:rsidR="00675D4A" w:rsidRDefault="00675D4A">
      <w:pPr>
        <w:spacing w:before="100" w:after="100"/>
      </w:pPr>
    </w:p>
    <w:p w:rsidR="00675D4A" w:rsidRDefault="00152DC4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Restructure Finance compensation — raise salaries in Low and </w:t>
      </w:r>
      <w:proofErr w:type="gramStart"/>
      <w:r>
        <w:rPr>
          <w:color w:val="1F2937"/>
        </w:rPr>
        <w:t>Mid</w:t>
      </w:r>
      <w:proofErr w:type="gramEnd"/>
      <w:r>
        <w:rPr>
          <w:color w:val="1F2937"/>
        </w:rPr>
        <w:t xml:space="preserve"> bands to address the 36% turnover rate.</w:t>
      </w:r>
    </w:p>
    <w:p w:rsidR="00675D4A" w:rsidRDefault="00152DC4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Implement pay-for-performance — high performers should sit in High salary bands, not randomly distributed.</w:t>
      </w:r>
    </w:p>
    <w:p w:rsidR="00675D4A" w:rsidRDefault="00152DC4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lastRenderedPageBreak/>
        <w:t>Conduct a regional salar</w:t>
      </w:r>
      <w:r>
        <w:rPr>
          <w:color w:val="1F2937"/>
        </w:rPr>
        <w:t>y audit — same roles should not have polar opposite pay bands based purely on geography.</w:t>
      </w:r>
    </w:p>
    <w:p w:rsidR="00675D4A" w:rsidRDefault="00152DC4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Build a retention program for 3-5 year employees — this is the performance peak window and highest risk for loss.</w:t>
      </w:r>
    </w:p>
    <w:p w:rsidR="00675D4A" w:rsidRDefault="00152DC4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Investigate DevOps hiring — a 3:1 non-performer to hi</w:t>
      </w:r>
      <w:r>
        <w:rPr>
          <w:color w:val="1F2937"/>
        </w:rPr>
        <w:t>gh performer ratio signals a talent or management problem.</w:t>
      </w:r>
    </w:p>
    <w:p w:rsidR="00675D4A" w:rsidRDefault="00152DC4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Introduce seniority-based pay progression — flat bands across tenure are silently pushing long-serving employees out.</w:t>
      </w:r>
    </w:p>
    <w:p w:rsidR="00675D4A" w:rsidRDefault="00675D4A">
      <w:pPr>
        <w:spacing w:before="100" w:after="100"/>
      </w:pPr>
      <w:bookmarkStart w:id="0" w:name="_GoBack"/>
      <w:bookmarkEnd w:id="0"/>
    </w:p>
    <w:sectPr w:rsidR="00675D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4610D"/>
    <w:multiLevelType w:val="hybridMultilevel"/>
    <w:tmpl w:val="D93C5D72"/>
    <w:lvl w:ilvl="0" w:tplc="6F9C3406">
      <w:start w:val="1"/>
      <w:numFmt w:val="bullet"/>
      <w:lvlText w:val="•"/>
      <w:lvlJc w:val="left"/>
      <w:pPr>
        <w:ind w:left="720" w:hanging="360"/>
      </w:pPr>
    </w:lvl>
    <w:lvl w:ilvl="1" w:tplc="4080EC3A">
      <w:numFmt w:val="decimal"/>
      <w:lvlText w:val=""/>
      <w:lvlJc w:val="left"/>
    </w:lvl>
    <w:lvl w:ilvl="2" w:tplc="F5427860">
      <w:numFmt w:val="decimal"/>
      <w:lvlText w:val=""/>
      <w:lvlJc w:val="left"/>
    </w:lvl>
    <w:lvl w:ilvl="3" w:tplc="7C4612A2">
      <w:numFmt w:val="decimal"/>
      <w:lvlText w:val=""/>
      <w:lvlJc w:val="left"/>
    </w:lvl>
    <w:lvl w:ilvl="4" w:tplc="0EAC1E40">
      <w:numFmt w:val="decimal"/>
      <w:lvlText w:val=""/>
      <w:lvlJc w:val="left"/>
    </w:lvl>
    <w:lvl w:ilvl="5" w:tplc="CBAC0A94">
      <w:numFmt w:val="decimal"/>
      <w:lvlText w:val=""/>
      <w:lvlJc w:val="left"/>
    </w:lvl>
    <w:lvl w:ilvl="6" w:tplc="44327F0E">
      <w:numFmt w:val="decimal"/>
      <w:lvlText w:val=""/>
      <w:lvlJc w:val="left"/>
    </w:lvl>
    <w:lvl w:ilvl="7" w:tplc="B420A144">
      <w:numFmt w:val="decimal"/>
      <w:lvlText w:val=""/>
      <w:lvlJc w:val="left"/>
    </w:lvl>
    <w:lvl w:ilvl="8" w:tplc="4D227244">
      <w:numFmt w:val="decimal"/>
      <w:lvlText w:val=""/>
      <w:lvlJc w:val="left"/>
    </w:lvl>
  </w:abstractNum>
  <w:abstractNum w:abstractNumId="1" w15:restartNumberingAfterBreak="0">
    <w:nsid w:val="0FF25BB9"/>
    <w:multiLevelType w:val="hybridMultilevel"/>
    <w:tmpl w:val="0D582760"/>
    <w:lvl w:ilvl="0" w:tplc="DB2CE206">
      <w:start w:val="1"/>
      <w:numFmt w:val="decimal"/>
      <w:lvlText w:val="%1."/>
      <w:lvlJc w:val="left"/>
      <w:pPr>
        <w:ind w:left="720" w:hanging="360"/>
      </w:pPr>
    </w:lvl>
    <w:lvl w:ilvl="1" w:tplc="B442E708">
      <w:numFmt w:val="decimal"/>
      <w:lvlText w:val=""/>
      <w:lvlJc w:val="left"/>
    </w:lvl>
    <w:lvl w:ilvl="2" w:tplc="CD084B0C">
      <w:numFmt w:val="decimal"/>
      <w:lvlText w:val=""/>
      <w:lvlJc w:val="left"/>
    </w:lvl>
    <w:lvl w:ilvl="3" w:tplc="8CCCEA18">
      <w:numFmt w:val="decimal"/>
      <w:lvlText w:val=""/>
      <w:lvlJc w:val="left"/>
    </w:lvl>
    <w:lvl w:ilvl="4" w:tplc="620854F2">
      <w:numFmt w:val="decimal"/>
      <w:lvlText w:val=""/>
      <w:lvlJc w:val="left"/>
    </w:lvl>
    <w:lvl w:ilvl="5" w:tplc="50124782">
      <w:numFmt w:val="decimal"/>
      <w:lvlText w:val=""/>
      <w:lvlJc w:val="left"/>
    </w:lvl>
    <w:lvl w:ilvl="6" w:tplc="BC5E0B48">
      <w:numFmt w:val="decimal"/>
      <w:lvlText w:val=""/>
      <w:lvlJc w:val="left"/>
    </w:lvl>
    <w:lvl w:ilvl="7" w:tplc="45924CAA">
      <w:numFmt w:val="decimal"/>
      <w:lvlText w:val=""/>
      <w:lvlJc w:val="left"/>
    </w:lvl>
    <w:lvl w:ilvl="8" w:tplc="6F0698FC">
      <w:numFmt w:val="decimal"/>
      <w:lvlText w:val=""/>
      <w:lvlJc w:val="left"/>
    </w:lvl>
  </w:abstractNum>
  <w:abstractNum w:abstractNumId="2" w15:restartNumberingAfterBreak="0">
    <w:nsid w:val="67EC1643"/>
    <w:multiLevelType w:val="hybridMultilevel"/>
    <w:tmpl w:val="8D8E1D0C"/>
    <w:lvl w:ilvl="0" w:tplc="A0103192">
      <w:start w:val="1"/>
      <w:numFmt w:val="bullet"/>
      <w:lvlText w:val="●"/>
      <w:lvlJc w:val="left"/>
      <w:pPr>
        <w:ind w:left="720" w:hanging="360"/>
      </w:pPr>
    </w:lvl>
    <w:lvl w:ilvl="1" w:tplc="321E04EA">
      <w:start w:val="1"/>
      <w:numFmt w:val="bullet"/>
      <w:lvlText w:val="○"/>
      <w:lvlJc w:val="left"/>
      <w:pPr>
        <w:ind w:left="1440" w:hanging="360"/>
      </w:pPr>
    </w:lvl>
    <w:lvl w:ilvl="2" w:tplc="FC5C12E6">
      <w:start w:val="1"/>
      <w:numFmt w:val="bullet"/>
      <w:lvlText w:val="■"/>
      <w:lvlJc w:val="left"/>
      <w:pPr>
        <w:ind w:left="2160" w:hanging="360"/>
      </w:pPr>
    </w:lvl>
    <w:lvl w:ilvl="3" w:tplc="888E55CA">
      <w:start w:val="1"/>
      <w:numFmt w:val="bullet"/>
      <w:lvlText w:val="●"/>
      <w:lvlJc w:val="left"/>
      <w:pPr>
        <w:ind w:left="2880" w:hanging="360"/>
      </w:pPr>
    </w:lvl>
    <w:lvl w:ilvl="4" w:tplc="8F14785E">
      <w:start w:val="1"/>
      <w:numFmt w:val="bullet"/>
      <w:lvlText w:val="○"/>
      <w:lvlJc w:val="left"/>
      <w:pPr>
        <w:ind w:left="3600" w:hanging="360"/>
      </w:pPr>
    </w:lvl>
    <w:lvl w:ilvl="5" w:tplc="457C1E02">
      <w:start w:val="1"/>
      <w:numFmt w:val="bullet"/>
      <w:lvlText w:val="■"/>
      <w:lvlJc w:val="left"/>
      <w:pPr>
        <w:ind w:left="4320" w:hanging="360"/>
      </w:pPr>
    </w:lvl>
    <w:lvl w:ilvl="6" w:tplc="73D8898E">
      <w:start w:val="1"/>
      <w:numFmt w:val="bullet"/>
      <w:lvlText w:val="●"/>
      <w:lvlJc w:val="left"/>
      <w:pPr>
        <w:ind w:left="5040" w:hanging="360"/>
      </w:pPr>
    </w:lvl>
    <w:lvl w:ilvl="7" w:tplc="B0007836">
      <w:start w:val="1"/>
      <w:numFmt w:val="bullet"/>
      <w:lvlText w:val="●"/>
      <w:lvlJc w:val="left"/>
      <w:pPr>
        <w:ind w:left="5760" w:hanging="360"/>
      </w:pPr>
    </w:lvl>
    <w:lvl w:ilvl="8" w:tplc="29F04B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D4A"/>
    <w:rsid w:val="00152DC4"/>
    <w:rsid w:val="0067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873B"/>
  <w15:docId w15:val="{E4DC8182-8E67-4392-A9FC-920EEADA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280" w:after="8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Horrid Haider</cp:lastModifiedBy>
  <cp:revision>2</cp:revision>
  <dcterms:created xsi:type="dcterms:W3CDTF">2026-04-26T11:11:00Z</dcterms:created>
  <dcterms:modified xsi:type="dcterms:W3CDTF">2026-04-26T11:14:00Z</dcterms:modified>
</cp:coreProperties>
</file>