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29C" w:rsidRDefault="000C4F99" w:rsidP="000C4F99">
      <w:pPr>
        <w:pStyle w:val="Title"/>
      </w:pPr>
      <w:r>
        <w:t xml:space="preserve">Overview of commands to interact with DLP reader and </w:t>
      </w:r>
      <w:r w:rsidRPr="000C4F99">
        <w:rPr>
          <w:rStyle w:val="TitleChar"/>
        </w:rPr>
        <w:t>R</w:t>
      </w:r>
      <w:r>
        <w:t>FID tags (TI HI-plus)</w:t>
      </w:r>
    </w:p>
    <w:p w:rsidR="000C4F99" w:rsidRDefault="000C4F99"/>
    <w:p w:rsidR="000C4F99" w:rsidRDefault="000C4F99"/>
    <w:p w:rsidR="000C4F99" w:rsidRDefault="000C4F99" w:rsidP="000C4F99">
      <w:pPr>
        <w:pStyle w:val="Heading1"/>
      </w:pPr>
      <w:r>
        <w:t>Interacting with the Reader</w:t>
      </w:r>
    </w:p>
    <w:p w:rsidR="000C4F99" w:rsidRDefault="000C4F99" w:rsidP="000C4F99">
      <w:r>
        <w:t xml:space="preserve">The DLP reader has a host protocol depicted in </w:t>
      </w:r>
      <w:r>
        <w:fldChar w:fldCharType="begin"/>
      </w:r>
      <w:r>
        <w:instrText xml:space="preserve"> REF _Ref388179481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. </w:t>
      </w:r>
    </w:p>
    <w:p w:rsidR="000C4F99" w:rsidRDefault="000C4F99" w:rsidP="000C4F99">
      <w:pPr>
        <w:keepNext/>
      </w:pPr>
      <w:r>
        <w:rPr>
          <w:noProof/>
        </w:rPr>
        <w:drawing>
          <wp:inline distT="0" distB="0" distL="0" distR="0" wp14:anchorId="300FBA7E" wp14:editId="66723509">
            <wp:extent cx="5943600" cy="2225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F99" w:rsidRDefault="000C4F99" w:rsidP="000C4F99">
      <w:pPr>
        <w:pStyle w:val="Caption"/>
        <w:jc w:val="center"/>
      </w:pPr>
      <w:bookmarkStart w:id="0" w:name="_Ref388179481"/>
      <w:r>
        <w:t xml:space="preserve">Figure </w:t>
      </w:r>
      <w:fldSimple w:instr=" SEQ Figure \* ARABIC ">
        <w:r w:rsidR="008070A6">
          <w:rPr>
            <w:noProof/>
          </w:rPr>
          <w:t>1</w:t>
        </w:r>
      </w:fldSimple>
      <w:bookmarkEnd w:id="0"/>
      <w:r>
        <w:t>:DLP host protocol</w:t>
      </w:r>
    </w:p>
    <w:p w:rsidR="000C4F99" w:rsidRDefault="00EA00DD" w:rsidP="00EA00DD">
      <w:r>
        <w:t xml:space="preserve">The protocol begins with a 0x01 (Start Of File) byte, then 2-bytes for the length </w:t>
      </w:r>
      <w:r w:rsidR="00E66D1E">
        <w:t>of the command, sent Least Significant Byte first</w:t>
      </w:r>
      <w:r>
        <w:t>.</w:t>
      </w:r>
      <w:r w:rsidR="000D1125">
        <w:t xml:space="preserve"> The length specifies the total number of bytes sent, including the SOF and EOF bytes. </w:t>
      </w:r>
      <w:r>
        <w:t xml:space="preserve"> Bytes 5 and 6 are always 0x03 and 0x04 respectively and they are followed by a command byte. There are THREE basic commands we can use (see </w:t>
      </w:r>
      <w:r>
        <w:fldChar w:fldCharType="begin"/>
      </w:r>
      <w:r>
        <w:instrText xml:space="preserve"> REF _Ref388179934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t>).</w:t>
      </w:r>
    </w:p>
    <w:p w:rsidR="00EA00DD" w:rsidRDefault="00EA00DD" w:rsidP="00EA00DD">
      <w:bookmarkStart w:id="1" w:name="_Ref388179741"/>
      <w:r>
        <w:t xml:space="preserve"> </w:t>
      </w:r>
      <w:bookmarkEnd w:id="1"/>
      <w:r>
        <w:rPr>
          <w:noProof/>
        </w:rPr>
        <w:drawing>
          <wp:inline distT="0" distB="0" distL="0" distR="0" wp14:anchorId="7380F9B7" wp14:editId="35F8C4E9">
            <wp:extent cx="5943600" cy="12242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0DD" w:rsidRDefault="00EA00DD" w:rsidP="00EA00DD">
      <w:pPr>
        <w:pStyle w:val="Caption"/>
        <w:jc w:val="center"/>
      </w:pPr>
      <w:bookmarkStart w:id="2" w:name="_Ref388179934"/>
      <w:bookmarkStart w:id="3" w:name="_Ref388179930"/>
      <w:r>
        <w:t xml:space="preserve">Figure </w:t>
      </w:r>
      <w:fldSimple w:instr=" SEQ Figure \* ARABIC ">
        <w:r w:rsidR="008070A6">
          <w:rPr>
            <w:noProof/>
          </w:rPr>
          <w:t>2</w:t>
        </w:r>
      </w:fldSimple>
      <w:bookmarkEnd w:id="2"/>
      <w:r>
        <w:t>:Basic RFID tag commands</w:t>
      </w:r>
      <w:bookmarkEnd w:id="3"/>
    </w:p>
    <w:p w:rsidR="00EA00DD" w:rsidRPr="00EA00DD" w:rsidRDefault="00EA00DD" w:rsidP="00EA00DD"/>
    <w:p w:rsidR="00EA00DD" w:rsidRDefault="00EA00DD" w:rsidP="00EA00DD">
      <w:r>
        <w:t xml:space="preserve">Communication with the RFID tags uses the ISO15693 protocol commands. </w:t>
      </w:r>
      <w:r w:rsidR="00104489">
        <w:t xml:space="preserve">To use these commands, the ISO request command is passed to the DLP reader and the parameters are the actual ISO15693 </w:t>
      </w:r>
      <w:r w:rsidR="00104489">
        <w:lastRenderedPageBreak/>
        <w:t>command.</w:t>
      </w:r>
      <w:r w:rsidR="00EC5C18">
        <w:t xml:space="preserve"> </w:t>
      </w:r>
      <w:r w:rsidR="007454C3">
        <w:t xml:space="preserve">The ISO15693 commands have the form shown in </w:t>
      </w:r>
      <w:r w:rsidR="007454C3">
        <w:fldChar w:fldCharType="begin"/>
      </w:r>
      <w:r w:rsidR="007454C3">
        <w:instrText xml:space="preserve"> REF _Ref388206691 \h </w:instrText>
      </w:r>
      <w:r w:rsidR="007454C3">
        <w:fldChar w:fldCharType="separate"/>
      </w:r>
      <w:r w:rsidR="007454C3">
        <w:t xml:space="preserve">Figure </w:t>
      </w:r>
      <w:r w:rsidR="007454C3">
        <w:rPr>
          <w:noProof/>
        </w:rPr>
        <w:t>3</w:t>
      </w:r>
      <w:r w:rsidR="007454C3">
        <w:fldChar w:fldCharType="end"/>
      </w:r>
      <w:r w:rsidR="007454C3">
        <w:t>. Only the flags, command, and parameters are used by the DLP module wrapper.</w:t>
      </w:r>
    </w:p>
    <w:p w:rsidR="007454C3" w:rsidRDefault="007454C3" w:rsidP="00EA00DD">
      <w:r>
        <w:rPr>
          <w:noProof/>
        </w:rPr>
        <w:drawing>
          <wp:inline distT="0" distB="0" distL="0" distR="0" wp14:anchorId="3CBD7529" wp14:editId="4B447D30">
            <wp:extent cx="3695700" cy="466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4C3" w:rsidRDefault="007454C3" w:rsidP="007454C3">
      <w:pPr>
        <w:pStyle w:val="Caption"/>
      </w:pPr>
      <w:bookmarkStart w:id="4" w:name="_Ref388206691"/>
      <w:r>
        <w:t xml:space="preserve">Figure </w:t>
      </w:r>
      <w:fldSimple w:instr=" SEQ Figure \* ARABIC ">
        <w:r w:rsidR="008070A6">
          <w:rPr>
            <w:noProof/>
          </w:rPr>
          <w:t>3</w:t>
        </w:r>
      </w:fldSimple>
      <w:bookmarkEnd w:id="4"/>
      <w:r>
        <w:t>:ISO15693 command form</w:t>
      </w:r>
    </w:p>
    <w:p w:rsidR="00EC5C18" w:rsidRDefault="00EC5C18" w:rsidP="00EA00DD"/>
    <w:p w:rsidR="00D279C4" w:rsidRDefault="00D279C4" w:rsidP="00D279C4">
      <w:pPr>
        <w:pStyle w:val="Heading1"/>
      </w:pPr>
      <w:r>
        <w:t>Configuring DLP reader</w:t>
      </w:r>
    </w:p>
    <w:p w:rsidR="00EC5C18" w:rsidRDefault="00EC5C18" w:rsidP="00EA00DD">
      <w:r>
        <w:t>To set up the DLP reader, the Write Register (0x10) command must be sent to the module. The specific commands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C5C18" w:rsidTr="00EC5C18">
        <w:tc>
          <w:tcPr>
            <w:tcW w:w="4788" w:type="dxa"/>
          </w:tcPr>
          <w:p w:rsidR="00EC5C18" w:rsidRDefault="00E43F3E" w:rsidP="00EA00DD">
            <w:r>
              <w:t>command</w:t>
            </w:r>
          </w:p>
        </w:tc>
        <w:tc>
          <w:tcPr>
            <w:tcW w:w="4788" w:type="dxa"/>
          </w:tcPr>
          <w:p w:rsidR="00EC5C18" w:rsidRDefault="00E43F3E" w:rsidP="00EA00DD">
            <w:r>
              <w:t>result</w:t>
            </w:r>
          </w:p>
        </w:tc>
      </w:tr>
      <w:tr w:rsidR="00EC5C18" w:rsidTr="00EC5C18">
        <w:tc>
          <w:tcPr>
            <w:tcW w:w="4788" w:type="dxa"/>
          </w:tcPr>
          <w:p w:rsidR="00EC5C18" w:rsidRPr="00D279C4" w:rsidRDefault="00D279C4" w:rsidP="00EA00DD">
            <w:pPr>
              <w:rPr>
                <w:highlight w:val="yellow"/>
              </w:rPr>
            </w:pPr>
            <w:r w:rsidRPr="00D279C4">
              <w:rPr>
                <w:rFonts w:ascii="CourierNew" w:hAnsi="CourierNew" w:cs="CourierNew"/>
                <w:sz w:val="24"/>
                <w:szCs w:val="24"/>
                <w:highlight w:val="yellow"/>
              </w:rPr>
              <w:t>010C00030410002101000000</w:t>
            </w:r>
          </w:p>
        </w:tc>
        <w:tc>
          <w:tcPr>
            <w:tcW w:w="4788" w:type="dxa"/>
          </w:tcPr>
          <w:p w:rsidR="00EC5C18" w:rsidRPr="00D279C4" w:rsidRDefault="00D279C4" w:rsidP="00D279C4">
            <w:pPr>
              <w:rPr>
                <w:highlight w:val="yellow"/>
              </w:rPr>
            </w:pPr>
            <w:r w:rsidRPr="00D279C4">
              <w:rPr>
                <w:highlight w:val="yellow"/>
              </w:rPr>
              <w:t>Writes to module register to use 1-of-4 modulation and full power</w:t>
            </w:r>
          </w:p>
        </w:tc>
      </w:tr>
      <w:tr w:rsidR="00EC5C18" w:rsidTr="00EC5C18">
        <w:tc>
          <w:tcPr>
            <w:tcW w:w="4788" w:type="dxa"/>
          </w:tcPr>
          <w:p w:rsidR="00EC5C18" w:rsidRDefault="00EC5C18" w:rsidP="00EA00DD"/>
        </w:tc>
        <w:tc>
          <w:tcPr>
            <w:tcW w:w="4788" w:type="dxa"/>
          </w:tcPr>
          <w:p w:rsidR="00EC5C18" w:rsidRDefault="00EC5C18" w:rsidP="00EA00DD"/>
        </w:tc>
      </w:tr>
      <w:tr w:rsidR="007454C3" w:rsidTr="00EC5C18">
        <w:tc>
          <w:tcPr>
            <w:tcW w:w="4788" w:type="dxa"/>
          </w:tcPr>
          <w:p w:rsidR="007454C3" w:rsidRDefault="007454C3" w:rsidP="007454C3"/>
        </w:tc>
        <w:tc>
          <w:tcPr>
            <w:tcW w:w="4788" w:type="dxa"/>
          </w:tcPr>
          <w:p w:rsidR="007454C3" w:rsidRDefault="007454C3" w:rsidP="007454C3"/>
        </w:tc>
      </w:tr>
    </w:tbl>
    <w:p w:rsidR="00EC5C18" w:rsidRDefault="00EC5C18" w:rsidP="00EA00DD"/>
    <w:p w:rsidR="007454C3" w:rsidRDefault="007454C3" w:rsidP="00030ACE">
      <w:pPr>
        <w:pStyle w:val="Heading1"/>
      </w:pPr>
      <w:r>
        <w:lastRenderedPageBreak/>
        <w:t>Tag Memory</w:t>
      </w:r>
    </w:p>
    <w:p w:rsidR="00030ACE" w:rsidRDefault="00030ACE" w:rsidP="00030ACE">
      <w:r>
        <w:rPr>
          <w:noProof/>
        </w:rPr>
        <w:drawing>
          <wp:inline distT="0" distB="0" distL="0" distR="0" wp14:anchorId="75E9EAEC" wp14:editId="281E4D40">
            <wp:extent cx="5514975" cy="5057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30ACE" w:rsidRPr="00030ACE" w:rsidRDefault="00030ACE" w:rsidP="00030ACE">
      <w:pPr>
        <w:pStyle w:val="Caption"/>
        <w:jc w:val="center"/>
      </w:pPr>
      <w:r>
        <w:t xml:space="preserve">Figure </w:t>
      </w:r>
      <w:fldSimple w:instr=" SEQ Figure \* ARABIC ">
        <w:r w:rsidR="008070A6">
          <w:rPr>
            <w:noProof/>
          </w:rPr>
          <w:t>4</w:t>
        </w:r>
      </w:fldSimple>
      <w:r>
        <w:t>: HF-I Plus memory map</w:t>
      </w:r>
    </w:p>
    <w:p w:rsidR="00030ACE" w:rsidRDefault="00030ACE" w:rsidP="00030ACE">
      <w:pPr>
        <w:pStyle w:val="ListParagraph"/>
        <w:numPr>
          <w:ilvl w:val="0"/>
          <w:numId w:val="1"/>
        </w:numPr>
      </w:pPr>
      <w:r>
        <w:t>UID: Accessed using the Inventory command. Contains a unique address/serial number for individual tags. This can be used to address individual tags.</w:t>
      </w:r>
    </w:p>
    <w:p w:rsidR="00030ACE" w:rsidRDefault="00030ACE" w:rsidP="00030ACE">
      <w:pPr>
        <w:pStyle w:val="ListParagraph"/>
        <w:numPr>
          <w:ilvl w:val="0"/>
          <w:numId w:val="1"/>
        </w:numPr>
      </w:pPr>
      <w:r>
        <w:t>DSFID (Data Structure Format Identifier): a location to write information about the User Memory structure</w:t>
      </w:r>
    </w:p>
    <w:p w:rsidR="00030ACE" w:rsidRDefault="00030ACE" w:rsidP="00030ACE">
      <w:pPr>
        <w:pStyle w:val="ListParagraph"/>
        <w:numPr>
          <w:ilvl w:val="0"/>
          <w:numId w:val="1"/>
        </w:numPr>
      </w:pPr>
      <w:r>
        <w:t>AFI (Application Family Identifier): Field that allows tags to be classified into “family” groups</w:t>
      </w:r>
      <w:r w:rsidR="008070A6">
        <w:t>:</w:t>
      </w:r>
    </w:p>
    <w:p w:rsidR="008070A6" w:rsidRDefault="008070A6" w:rsidP="008070A6">
      <w:pPr>
        <w:jc w:val="center"/>
      </w:pPr>
      <w:r>
        <w:rPr>
          <w:noProof/>
        </w:rPr>
        <w:lastRenderedPageBreak/>
        <w:drawing>
          <wp:inline distT="0" distB="0" distL="0" distR="0" wp14:anchorId="376D01CA" wp14:editId="319E2857">
            <wp:extent cx="5514975" cy="3019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0A6" w:rsidRDefault="008070A6" w:rsidP="008070A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:AFI Code Family Definitions</w:t>
      </w:r>
    </w:p>
    <w:p w:rsidR="00030ACE" w:rsidRDefault="00030ACE" w:rsidP="00030ACE">
      <w:pPr>
        <w:pStyle w:val="ListParagraph"/>
        <w:numPr>
          <w:ilvl w:val="0"/>
          <w:numId w:val="1"/>
        </w:numPr>
      </w:pPr>
      <w:r>
        <w:t>IC Reference: read only information about the IC</w:t>
      </w:r>
    </w:p>
    <w:p w:rsidR="00030ACE" w:rsidRDefault="00030ACE" w:rsidP="00030ACE">
      <w:pPr>
        <w:pStyle w:val="ListParagraph"/>
        <w:numPr>
          <w:ilvl w:val="0"/>
          <w:numId w:val="1"/>
        </w:numPr>
      </w:pPr>
      <w:r>
        <w:t>User Memory: 64 pages of 32-bit memory blocks. Each page can be read, programmed and locked</w:t>
      </w:r>
    </w:p>
    <w:p w:rsidR="00030ACE" w:rsidRDefault="000063D1" w:rsidP="000063D1">
      <w:pPr>
        <w:pStyle w:val="Heading1"/>
      </w:pPr>
      <w:r>
        <w:t>The ISO15693 Protocol</w:t>
      </w:r>
    </w:p>
    <w:p w:rsidR="000063D1" w:rsidRDefault="00A454C9" w:rsidP="00A454C9">
      <w:pPr>
        <w:pStyle w:val="ListParagraph"/>
        <w:numPr>
          <w:ilvl w:val="0"/>
          <w:numId w:val="2"/>
        </w:numPr>
      </w:pPr>
      <w:r>
        <w:t>Addresses and data  are sent LSB first</w:t>
      </w:r>
    </w:p>
    <w:p w:rsidR="00046D7E" w:rsidRDefault="00D85586" w:rsidP="00A454C9">
      <w:pPr>
        <w:pStyle w:val="ListParagraph"/>
        <w:numPr>
          <w:ilvl w:val="0"/>
          <w:numId w:val="2"/>
        </w:numPr>
      </w:pPr>
      <w:r>
        <w:t>Cards will respond to requests matching their UID, general (no UID given), or if in select mode</w:t>
      </w:r>
    </w:p>
    <w:p w:rsidR="00D85586" w:rsidRPr="000063D1" w:rsidRDefault="00D85586" w:rsidP="00A454C9">
      <w:pPr>
        <w:pStyle w:val="ListParagraph"/>
        <w:numPr>
          <w:ilvl w:val="0"/>
          <w:numId w:val="2"/>
        </w:numPr>
      </w:pPr>
      <w:r>
        <w:t>See TRF7960EVM user guide section 3.5 for details on protocol and specifics for commands</w:t>
      </w:r>
      <w:bookmarkStart w:id="5" w:name="_GoBack"/>
      <w:bookmarkEnd w:id="5"/>
    </w:p>
    <w:sectPr w:rsidR="00D85586" w:rsidRPr="00006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New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435906"/>
    <w:multiLevelType w:val="hybridMultilevel"/>
    <w:tmpl w:val="E32A6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865ABD"/>
    <w:multiLevelType w:val="hybridMultilevel"/>
    <w:tmpl w:val="B1DCD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F99"/>
    <w:rsid w:val="000063D1"/>
    <w:rsid w:val="00030ACE"/>
    <w:rsid w:val="00046D7E"/>
    <w:rsid w:val="000C4F99"/>
    <w:rsid w:val="000D1125"/>
    <w:rsid w:val="00104489"/>
    <w:rsid w:val="00190989"/>
    <w:rsid w:val="007454C3"/>
    <w:rsid w:val="00752FFB"/>
    <w:rsid w:val="008070A6"/>
    <w:rsid w:val="00A454C9"/>
    <w:rsid w:val="00AF05B0"/>
    <w:rsid w:val="00D279C4"/>
    <w:rsid w:val="00D85586"/>
    <w:rsid w:val="00E43F3E"/>
    <w:rsid w:val="00E66D1E"/>
    <w:rsid w:val="00EA00DD"/>
    <w:rsid w:val="00EC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F455AD-F476-4CDA-9D61-6F5678B0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4F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4F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C4F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D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C5C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0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EC71B-7D55-4683-96BE-1826C3EC3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4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EE</Company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G. Ma</dc:creator>
  <cp:keywords/>
  <dc:description/>
  <cp:lastModifiedBy>Alyanna Y. Castillo</cp:lastModifiedBy>
  <cp:revision>5</cp:revision>
  <dcterms:created xsi:type="dcterms:W3CDTF">2014-05-18T19:18:00Z</dcterms:created>
  <dcterms:modified xsi:type="dcterms:W3CDTF">2014-05-19T06:07:00Z</dcterms:modified>
</cp:coreProperties>
</file>