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57A2" w14:textId="01C4E9E0" w:rsidR="000C5287" w:rsidRDefault="000C5287" w:rsidP="000C5287">
      <w:pPr>
        <w:pStyle w:val="Title"/>
      </w:pPr>
      <w:r>
        <w:t>Summary of the Analysis</w:t>
      </w:r>
    </w:p>
    <w:p w14:paraId="63098844" w14:textId="77777777" w:rsidR="000C5287" w:rsidRDefault="000C5287" w:rsidP="00D37848">
      <w:pPr>
        <w:tabs>
          <w:tab w:val="left" w:pos="5193"/>
        </w:tabs>
      </w:pPr>
    </w:p>
    <w:p w14:paraId="5742C6F4" w14:textId="0A4DBAF2" w:rsidR="001723C7" w:rsidRDefault="000B4DA8" w:rsidP="00D37848">
      <w:pPr>
        <w:tabs>
          <w:tab w:val="left" w:pos="5193"/>
        </w:tabs>
      </w:pPr>
      <w:r>
        <w:t>After analysing data on 15 schools which include</w:t>
      </w:r>
      <w:r w:rsidR="00B83D67">
        <w:t>d</w:t>
      </w:r>
      <w:r>
        <w:t xml:space="preserve"> </w:t>
      </w:r>
      <w:r w:rsidR="00B83D67">
        <w:t xml:space="preserve">39,170 </w:t>
      </w:r>
      <w:r w:rsidR="007C363B">
        <w:t xml:space="preserve">students, </w:t>
      </w:r>
      <w:r w:rsidR="00095086">
        <w:t>various tables summar</w:t>
      </w:r>
      <w:r w:rsidR="001245A4">
        <w:t>ising the overall</w:t>
      </w:r>
      <w:r w:rsidR="00095086">
        <w:t xml:space="preserve"> data </w:t>
      </w:r>
      <w:r w:rsidR="00D673B9">
        <w:t>were</w:t>
      </w:r>
      <w:r w:rsidR="00095086">
        <w:t xml:space="preserve"> produced comparing the student math and reading scores against </w:t>
      </w:r>
      <w:r w:rsidR="00076C4C">
        <w:t xml:space="preserve">each of the schools, </w:t>
      </w:r>
      <w:r w:rsidR="00E05FCE">
        <w:t>the student year groups 9 to 12</w:t>
      </w:r>
      <w:r w:rsidR="00076C4C">
        <w:t xml:space="preserve">, </w:t>
      </w:r>
      <w:r w:rsidR="00E3023A">
        <w:t xml:space="preserve">the amount </w:t>
      </w:r>
      <w:r w:rsidR="006C0B93">
        <w:t>spent</w:t>
      </w:r>
      <w:r w:rsidR="00E3023A">
        <w:t xml:space="preserve"> on the students, </w:t>
      </w:r>
      <w:r w:rsidR="007303EA">
        <w:t xml:space="preserve">the </w:t>
      </w:r>
      <w:r w:rsidR="00E3023A">
        <w:t xml:space="preserve">size of the schools, and if the schools are </w:t>
      </w:r>
      <w:r w:rsidR="006C0B93">
        <w:t>government or independent.</w:t>
      </w:r>
    </w:p>
    <w:p w14:paraId="4686789B" w14:textId="77777777" w:rsidR="00601457" w:rsidRDefault="00601457" w:rsidP="00D37848">
      <w:pPr>
        <w:tabs>
          <w:tab w:val="left" w:pos="5193"/>
        </w:tabs>
      </w:pPr>
    </w:p>
    <w:p w14:paraId="4DEAD84D" w14:textId="330235A0" w:rsidR="00271517" w:rsidRDefault="004D3CE8" w:rsidP="00D37848">
      <w:pPr>
        <w:tabs>
          <w:tab w:val="left" w:pos="5193"/>
        </w:tabs>
      </w:pPr>
      <w:r>
        <w:t>C</w:t>
      </w:r>
      <w:r w:rsidR="00601457">
        <w:t xml:space="preserve">omparing the </w:t>
      </w:r>
      <w:r>
        <w:t>schools by</w:t>
      </w:r>
      <w:r w:rsidR="00601457">
        <w:t xml:space="preserve"> </w:t>
      </w:r>
      <w:r w:rsidR="00E216A6">
        <w:t xml:space="preserve">the average scores </w:t>
      </w:r>
      <w:r w:rsidR="003D6AB0">
        <w:t>for reading and math</w:t>
      </w:r>
      <w:r w:rsidR="00E216A6">
        <w:t xml:space="preserve"> and</w:t>
      </w:r>
      <w:r w:rsidR="003D6AB0">
        <w:t xml:space="preserve"> the number of students that passed </w:t>
      </w:r>
      <w:r w:rsidR="003D04D7">
        <w:t>for reading and math individually and combined.</w:t>
      </w:r>
      <w:r w:rsidR="002C49F3">
        <w:t xml:space="preserve"> </w:t>
      </w:r>
      <w:r w:rsidR="007C363B">
        <w:t>All</w:t>
      </w:r>
      <w:r w:rsidR="003F2FC0">
        <w:t xml:space="preserve"> the schools in the </w:t>
      </w:r>
      <w:r w:rsidR="007530FC">
        <w:t xml:space="preserve">data had </w:t>
      </w:r>
      <w:r w:rsidR="00953B22">
        <w:t>over 80% of the s</w:t>
      </w:r>
      <w:r w:rsidR="00794F6B">
        <w:t xml:space="preserve">tudents passing one subject and </w:t>
      </w:r>
      <w:r w:rsidR="002B2E54">
        <w:t>none of the schools had less than 66% of students passing both subjects.</w:t>
      </w:r>
    </w:p>
    <w:p w14:paraId="47BB1610" w14:textId="77777777" w:rsidR="00271517" w:rsidRDefault="00271517" w:rsidP="00D37848">
      <w:pPr>
        <w:tabs>
          <w:tab w:val="left" w:pos="5193"/>
        </w:tabs>
      </w:pPr>
    </w:p>
    <w:p w14:paraId="55369B70" w14:textId="27F7B6F2" w:rsidR="00271517" w:rsidRDefault="00C14543" w:rsidP="00D37848">
      <w:pPr>
        <w:tabs>
          <w:tab w:val="left" w:pos="5193"/>
        </w:tabs>
      </w:pPr>
      <w:r>
        <w:t xml:space="preserve">The average passing scores </w:t>
      </w:r>
      <w:r w:rsidR="002C7C0B">
        <w:t>for</w:t>
      </w:r>
      <w:r>
        <w:t xml:space="preserve"> each of the</w:t>
      </w:r>
      <w:r w:rsidR="002C7C0B">
        <w:t xml:space="preserve"> subjects</w:t>
      </w:r>
      <w:r>
        <w:t xml:space="preserve"> </w:t>
      </w:r>
      <w:r w:rsidR="00815CA8">
        <w:t>are</w:t>
      </w:r>
      <w:r>
        <w:t xml:space="preserve"> </w:t>
      </w:r>
      <w:r w:rsidR="0014665A">
        <w:t xml:space="preserve">within 3 points </w:t>
      </w:r>
      <w:r w:rsidR="00271517">
        <w:t xml:space="preserve">on </w:t>
      </w:r>
      <w:r w:rsidR="0014665A">
        <w:t>either side of 70 for all schools.</w:t>
      </w:r>
      <w:r w:rsidR="00271517">
        <w:t xml:space="preserve"> The scores were similar across </w:t>
      </w:r>
      <w:r w:rsidR="00D55445">
        <w:t>all year levels and schools</w:t>
      </w:r>
      <w:r w:rsidR="00183AEC">
        <w:t>, the amount spent, school size and type of school.</w:t>
      </w:r>
    </w:p>
    <w:p w14:paraId="35712A14" w14:textId="77777777" w:rsidR="002938AB" w:rsidRDefault="002938AB" w:rsidP="00D37848">
      <w:pPr>
        <w:tabs>
          <w:tab w:val="left" w:pos="5193"/>
        </w:tabs>
      </w:pPr>
    </w:p>
    <w:p w14:paraId="77155CE2" w14:textId="541BAC18" w:rsidR="00C57B23" w:rsidRDefault="0072711A" w:rsidP="0072711A">
      <w:pPr>
        <w:pStyle w:val="Title"/>
      </w:pPr>
      <w:r>
        <w:t>Conclusions or Comparisons</w:t>
      </w:r>
    </w:p>
    <w:p w14:paraId="5A373353" w14:textId="77777777" w:rsidR="00C57B23" w:rsidRDefault="00C57B23" w:rsidP="00D37848">
      <w:pPr>
        <w:tabs>
          <w:tab w:val="left" w:pos="5193"/>
        </w:tabs>
      </w:pPr>
    </w:p>
    <w:p w14:paraId="72A06CCD" w14:textId="1626A8D1" w:rsidR="006666AC" w:rsidRDefault="00134F94" w:rsidP="00F9493C">
      <w:pPr>
        <w:pStyle w:val="ListParagraph"/>
        <w:numPr>
          <w:ilvl w:val="0"/>
          <w:numId w:val="1"/>
        </w:numPr>
        <w:tabs>
          <w:tab w:val="left" w:pos="5193"/>
        </w:tabs>
      </w:pPr>
      <w:r>
        <w:t>Top-performing</w:t>
      </w:r>
      <w:r w:rsidR="00565C11">
        <w:t xml:space="preserve"> </w:t>
      </w:r>
      <w:r>
        <w:t>schools</w:t>
      </w:r>
      <w:r w:rsidR="00565C11">
        <w:t xml:space="preserve"> </w:t>
      </w:r>
      <w:r w:rsidR="00DF7174">
        <w:t>are more likely to have</w:t>
      </w:r>
      <w:r w:rsidR="00D32E15">
        <w:t xml:space="preserve"> fewer</w:t>
      </w:r>
      <w:r>
        <w:t xml:space="preserve"> students and </w:t>
      </w:r>
      <w:r w:rsidR="0009207D">
        <w:t>are</w:t>
      </w:r>
      <w:r>
        <w:t xml:space="preserve"> independent </w:t>
      </w:r>
      <w:r w:rsidR="0009207D">
        <w:t>schools</w:t>
      </w:r>
      <w:r w:rsidR="00990F3B">
        <w:t xml:space="preserve"> with spending in the </w:t>
      </w:r>
      <w:r w:rsidR="00216320">
        <w:t>$58</w:t>
      </w:r>
      <w:r w:rsidR="00D32E15">
        <w:t>5</w:t>
      </w:r>
      <w:r w:rsidR="00216320">
        <w:t>-$6</w:t>
      </w:r>
      <w:r w:rsidR="00D32E15">
        <w:t>30</w:t>
      </w:r>
      <w:r w:rsidR="0009207D">
        <w:t>.</w:t>
      </w:r>
      <w:r w:rsidR="00351CDB">
        <w:t xml:space="preserve"> This is </w:t>
      </w:r>
      <w:r w:rsidR="00D46ABE">
        <w:t>supported</w:t>
      </w:r>
      <w:r w:rsidR="00351CDB">
        <w:t xml:space="preserve"> </w:t>
      </w:r>
      <w:r w:rsidR="00723887">
        <w:t xml:space="preserve">by </w:t>
      </w:r>
      <w:r w:rsidR="00216320">
        <w:t xml:space="preserve">the comparisons of scores by spending, </w:t>
      </w:r>
      <w:r w:rsidR="00FC1E8E">
        <w:t>the school</w:t>
      </w:r>
      <w:r w:rsidR="003E7212">
        <w:t>s by</w:t>
      </w:r>
      <w:r w:rsidR="00FC1E8E">
        <w:t xml:space="preserve"> </w:t>
      </w:r>
      <w:r w:rsidR="00A962DE">
        <w:t>size</w:t>
      </w:r>
      <w:r w:rsidR="00FC1E8E">
        <w:t xml:space="preserve"> and </w:t>
      </w:r>
      <w:r w:rsidR="00A962DE">
        <w:t>schools</w:t>
      </w:r>
      <w:r w:rsidR="003E7212">
        <w:t xml:space="preserve"> by </w:t>
      </w:r>
      <w:r w:rsidR="00A962DE">
        <w:t>type</w:t>
      </w:r>
      <w:r w:rsidR="00972BB4">
        <w:t>.</w:t>
      </w:r>
      <w:r w:rsidR="0072711A">
        <w:t xml:space="preserve"> </w:t>
      </w:r>
      <w:r w:rsidR="00D32E15">
        <w:t xml:space="preserve">Three of the </w:t>
      </w:r>
      <w:r w:rsidR="002D0DE9">
        <w:t xml:space="preserve">five </w:t>
      </w:r>
      <w:r w:rsidR="00D32E15">
        <w:t xml:space="preserve">top schools </w:t>
      </w:r>
      <w:r w:rsidR="00EB324A">
        <w:t>either have these characteristics or are very close.</w:t>
      </w:r>
    </w:p>
    <w:p w14:paraId="15CF2494" w14:textId="77777777" w:rsidR="00FD5EBD" w:rsidRDefault="00FD5EBD" w:rsidP="00D37848">
      <w:pPr>
        <w:tabs>
          <w:tab w:val="left" w:pos="5193"/>
        </w:tabs>
      </w:pPr>
    </w:p>
    <w:p w14:paraId="06314B68" w14:textId="6B148BCB" w:rsidR="0008358A" w:rsidRPr="00D37848" w:rsidRDefault="00DD5F97" w:rsidP="00F9493C">
      <w:pPr>
        <w:pStyle w:val="ListParagraph"/>
        <w:numPr>
          <w:ilvl w:val="0"/>
          <w:numId w:val="1"/>
        </w:numPr>
        <w:tabs>
          <w:tab w:val="left" w:pos="5193"/>
        </w:tabs>
      </w:pPr>
      <w:r>
        <w:t xml:space="preserve">There is a significant number of students that are good at either </w:t>
      </w:r>
      <w:r w:rsidR="007E17A6">
        <w:t xml:space="preserve">reading or maths. </w:t>
      </w:r>
      <w:r w:rsidR="00A962DE">
        <w:t>All</w:t>
      </w:r>
      <w:r w:rsidR="000E62A2">
        <w:t xml:space="preserve"> the summary tables that include </w:t>
      </w:r>
      <w:r w:rsidR="00E4372F">
        <w:t xml:space="preserve">the </w:t>
      </w:r>
      <w:r w:rsidR="007453AE">
        <w:t>percentage passing math</w:t>
      </w:r>
      <w:r w:rsidR="003B5A0C">
        <w:t xml:space="preserve">, </w:t>
      </w:r>
      <w:r w:rsidR="007453AE">
        <w:t xml:space="preserve">reading or overall have a </w:t>
      </w:r>
      <w:r w:rsidR="00333642">
        <w:t>7</w:t>
      </w:r>
      <w:r w:rsidR="007453AE">
        <w:t>% or more</w:t>
      </w:r>
      <w:r w:rsidR="00333642">
        <w:t xml:space="preserve"> difference between the overall and </w:t>
      </w:r>
      <w:r w:rsidR="00EE330F">
        <w:t>both</w:t>
      </w:r>
      <w:r w:rsidR="00333642">
        <w:t xml:space="preserve"> reading </w:t>
      </w:r>
      <w:r w:rsidR="00E53CAA">
        <w:t>and</w:t>
      </w:r>
      <w:r w:rsidR="00333642">
        <w:t xml:space="preserve"> </w:t>
      </w:r>
      <w:r w:rsidR="00E74B05">
        <w:t xml:space="preserve">maths. The </w:t>
      </w:r>
      <w:r w:rsidR="00A962DE">
        <w:t>bottom-performing</w:t>
      </w:r>
      <w:r w:rsidR="00E74B05">
        <w:t xml:space="preserve"> schools have more extreme differences with </w:t>
      </w:r>
      <w:r w:rsidR="00293266">
        <w:t xml:space="preserve">the top schools having a smaller gap. This is not ameliorated by </w:t>
      </w:r>
      <w:r w:rsidR="00E4372F">
        <w:t>spending more per student</w:t>
      </w:r>
      <w:r w:rsidR="001A79EE">
        <w:t xml:space="preserve"> which seems</w:t>
      </w:r>
      <w:r w:rsidR="007C1EB9">
        <w:t xml:space="preserve"> to have the largest difference</w:t>
      </w:r>
      <w:r w:rsidR="00E53CAA">
        <w:t xml:space="preserve">. The number of students at the school also seems to </w:t>
      </w:r>
      <w:r w:rsidR="00F9493C">
        <w:t>affect</w:t>
      </w:r>
      <w:r w:rsidR="00E53CAA">
        <w:t xml:space="preserve"> this </w:t>
      </w:r>
      <w:r w:rsidR="00F9493C">
        <w:t>difference.</w:t>
      </w:r>
      <w:r w:rsidR="00E53CAA">
        <w:t xml:space="preserve"> </w:t>
      </w:r>
    </w:p>
    <w:sectPr w:rsidR="0008358A" w:rsidRPr="00D3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1F8"/>
    <w:multiLevelType w:val="hybridMultilevel"/>
    <w:tmpl w:val="8AFED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50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48"/>
    <w:rsid w:val="00011EF7"/>
    <w:rsid w:val="00012184"/>
    <w:rsid w:val="000752F7"/>
    <w:rsid w:val="00076C4C"/>
    <w:rsid w:val="0008358A"/>
    <w:rsid w:val="0009207D"/>
    <w:rsid w:val="00095086"/>
    <w:rsid w:val="000B4DA8"/>
    <w:rsid w:val="000C5287"/>
    <w:rsid w:val="000E62A2"/>
    <w:rsid w:val="001245A4"/>
    <w:rsid w:val="00134F94"/>
    <w:rsid w:val="0014665A"/>
    <w:rsid w:val="001723C7"/>
    <w:rsid w:val="00183AEC"/>
    <w:rsid w:val="001964BC"/>
    <w:rsid w:val="001A5D12"/>
    <w:rsid w:val="001A79EE"/>
    <w:rsid w:val="001F3FC9"/>
    <w:rsid w:val="00216320"/>
    <w:rsid w:val="00221654"/>
    <w:rsid w:val="00271517"/>
    <w:rsid w:val="00293266"/>
    <w:rsid w:val="002938AB"/>
    <w:rsid w:val="002A2AED"/>
    <w:rsid w:val="002B2E54"/>
    <w:rsid w:val="002C49F3"/>
    <w:rsid w:val="002C7C0B"/>
    <w:rsid w:val="002D0DE9"/>
    <w:rsid w:val="00333642"/>
    <w:rsid w:val="00351CDB"/>
    <w:rsid w:val="003934E6"/>
    <w:rsid w:val="003B5A0C"/>
    <w:rsid w:val="003D04D7"/>
    <w:rsid w:val="003D6AB0"/>
    <w:rsid w:val="003E7212"/>
    <w:rsid w:val="003F2FC0"/>
    <w:rsid w:val="00406674"/>
    <w:rsid w:val="0041603E"/>
    <w:rsid w:val="004D3CE8"/>
    <w:rsid w:val="0052061F"/>
    <w:rsid w:val="00565C11"/>
    <w:rsid w:val="00583988"/>
    <w:rsid w:val="00601457"/>
    <w:rsid w:val="00625A9F"/>
    <w:rsid w:val="0064239D"/>
    <w:rsid w:val="006666AC"/>
    <w:rsid w:val="006C0B93"/>
    <w:rsid w:val="006D7CA9"/>
    <w:rsid w:val="00723887"/>
    <w:rsid w:val="0072711A"/>
    <w:rsid w:val="007303EA"/>
    <w:rsid w:val="007453AE"/>
    <w:rsid w:val="00752AF0"/>
    <w:rsid w:val="007530FC"/>
    <w:rsid w:val="00775E57"/>
    <w:rsid w:val="00794F6B"/>
    <w:rsid w:val="007C1EB9"/>
    <w:rsid w:val="007C363B"/>
    <w:rsid w:val="007E17A6"/>
    <w:rsid w:val="00815CA8"/>
    <w:rsid w:val="00880469"/>
    <w:rsid w:val="00953B22"/>
    <w:rsid w:val="00966444"/>
    <w:rsid w:val="00970F47"/>
    <w:rsid w:val="00972BB4"/>
    <w:rsid w:val="00990F3B"/>
    <w:rsid w:val="009C375D"/>
    <w:rsid w:val="00A962DE"/>
    <w:rsid w:val="00B83D67"/>
    <w:rsid w:val="00BC6FAC"/>
    <w:rsid w:val="00BE53E7"/>
    <w:rsid w:val="00C14543"/>
    <w:rsid w:val="00C25A8B"/>
    <w:rsid w:val="00C505BD"/>
    <w:rsid w:val="00C57B23"/>
    <w:rsid w:val="00CA4031"/>
    <w:rsid w:val="00CD16D7"/>
    <w:rsid w:val="00D32E15"/>
    <w:rsid w:val="00D37848"/>
    <w:rsid w:val="00D46ABE"/>
    <w:rsid w:val="00D55445"/>
    <w:rsid w:val="00D673B9"/>
    <w:rsid w:val="00DD5F97"/>
    <w:rsid w:val="00DF7174"/>
    <w:rsid w:val="00E04F03"/>
    <w:rsid w:val="00E05FCE"/>
    <w:rsid w:val="00E216A6"/>
    <w:rsid w:val="00E2219F"/>
    <w:rsid w:val="00E3023A"/>
    <w:rsid w:val="00E405F0"/>
    <w:rsid w:val="00E4372F"/>
    <w:rsid w:val="00E53CAA"/>
    <w:rsid w:val="00E74B05"/>
    <w:rsid w:val="00EB324A"/>
    <w:rsid w:val="00EE330F"/>
    <w:rsid w:val="00F752B2"/>
    <w:rsid w:val="00F91258"/>
    <w:rsid w:val="00F9493C"/>
    <w:rsid w:val="00FC1E8E"/>
    <w:rsid w:val="00FD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7C16"/>
  <w15:chartTrackingRefBased/>
  <w15:docId w15:val="{BD3DB3EA-9880-354F-BE0D-3D5858F7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52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2023-12-14T08:50:00Z</dcterms:created>
  <dcterms:modified xsi:type="dcterms:W3CDTF">2023-12-14T10:51:00Z</dcterms:modified>
</cp:coreProperties>
</file>