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>- Horváth Bence János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Pr="001E2E6C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bookmarkStart w:id="0" w:name="_GoBack"/>
      <w:bookmarkEnd w:id="0"/>
      <w:r>
        <w:rPr>
          <w:sz w:val="24"/>
        </w:rPr>
        <w:br/>
        <w:t>- Horváth Bence János</w:t>
      </w:r>
    </w:p>
    <w:sectPr w:rsidR="00BC31EE" w:rsidRPr="001E2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97386"/>
    <w:rsid w:val="000B7223"/>
    <w:rsid w:val="001E2E6C"/>
    <w:rsid w:val="0034576D"/>
    <w:rsid w:val="003B0882"/>
    <w:rsid w:val="004743D7"/>
    <w:rsid w:val="005D4460"/>
    <w:rsid w:val="00A16929"/>
    <w:rsid w:val="00B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D2E0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BEEC2-CA8B-4B04-9A0A-766CEE16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873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8</cp:revision>
  <dcterms:created xsi:type="dcterms:W3CDTF">2025-01-01T17:38:00Z</dcterms:created>
  <dcterms:modified xsi:type="dcterms:W3CDTF">2025-02-04T19:20:00Z</dcterms:modified>
</cp:coreProperties>
</file>