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testing444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testing444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Mechanical Coarse Screen-Multi rack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Screen 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 (Teeth)</w:t>
            </w:r>
          </w:p>
        </w:tc>
        <w:tc>
          <w:tcPr>
            <w:tcW w:type="dxa" w:w="4320"/>
          </w:tcPr>
          <w:p>
            <w:r>
              <w:t>Artelon</w:t>
            </w:r>
          </w:p>
        </w:tc>
      </w:tr>
      <w:tr>
        <w:tc>
          <w:tcPr>
            <w:tcW w:type="dxa" w:w="4320"/>
          </w:tcPr>
          <w:p>
            <w:r>
              <w:t>Sprockets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Chain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Sec06: Other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 Rack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Factory3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Area3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Disposals3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Manual3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Egypt3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6003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3200 approx.3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